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07C" w:rsidRDefault="0051107C"/>
    <w:p w:rsidR="003A192F" w:rsidRPr="008104A6" w:rsidRDefault="003A192F" w:rsidP="003A192F">
      <w:pPr>
        <w:spacing w:after="120"/>
        <w:ind w:left="708"/>
        <w:jc w:val="right"/>
        <w:rPr>
          <w:rFonts w:ascii="Trebuchet MS" w:hAnsi="Trebuchet MS"/>
          <w:b/>
        </w:rPr>
      </w:pPr>
      <w:bookmarkStart w:id="0" w:name="_GoBack"/>
      <w:bookmarkEnd w:id="0"/>
    </w:p>
    <w:p w:rsidR="003A192F" w:rsidRPr="008104A6" w:rsidRDefault="003A192F" w:rsidP="003A192F">
      <w:pPr>
        <w:spacing w:after="120"/>
        <w:ind w:left="708"/>
        <w:jc w:val="center"/>
        <w:rPr>
          <w:rFonts w:ascii="Trebuchet MS" w:hAnsi="Trebuchet MS"/>
          <w:b/>
        </w:rPr>
      </w:pPr>
    </w:p>
    <w:p w:rsidR="003A192F" w:rsidRPr="008104A6" w:rsidRDefault="003A192F" w:rsidP="00934E60">
      <w:pPr>
        <w:spacing w:after="0" w:line="360" w:lineRule="auto"/>
        <w:ind w:left="708"/>
        <w:jc w:val="center"/>
        <w:rPr>
          <w:rFonts w:ascii="Trebuchet MS" w:hAnsi="Trebuchet MS"/>
          <w:b/>
        </w:rPr>
      </w:pPr>
      <w:r w:rsidRPr="008104A6">
        <w:rPr>
          <w:rFonts w:ascii="Trebuchet MS" w:hAnsi="Trebuchet MS"/>
          <w:b/>
        </w:rPr>
        <w:t xml:space="preserve">Raport privind deplasarea la </w:t>
      </w:r>
      <w:r w:rsidR="0007160A">
        <w:rPr>
          <w:rFonts w:ascii="Trebuchet MS" w:hAnsi="Trebuchet MS"/>
          <w:b/>
        </w:rPr>
        <w:t>Bratislava</w:t>
      </w:r>
      <w:r>
        <w:rPr>
          <w:rFonts w:ascii="Trebuchet MS" w:hAnsi="Trebuchet MS"/>
          <w:b/>
        </w:rPr>
        <w:t>,</w:t>
      </w:r>
      <w:r w:rsidRPr="008104A6">
        <w:rPr>
          <w:rFonts w:ascii="Trebuchet MS" w:hAnsi="Trebuchet MS"/>
          <w:b/>
        </w:rPr>
        <w:t xml:space="preserve"> în</w:t>
      </w:r>
      <w:r>
        <w:rPr>
          <w:rFonts w:ascii="Trebuchet MS" w:hAnsi="Trebuchet MS"/>
          <w:b/>
        </w:rPr>
        <w:t xml:space="preserve"> perioada</w:t>
      </w:r>
      <w:r w:rsidRPr="008104A6">
        <w:rPr>
          <w:rFonts w:ascii="Trebuchet MS" w:hAnsi="Trebuchet MS"/>
          <w:b/>
        </w:rPr>
        <w:t xml:space="preserve"> </w:t>
      </w:r>
      <w:r w:rsidR="0007160A">
        <w:rPr>
          <w:rFonts w:ascii="Trebuchet MS" w:hAnsi="Trebuchet MS"/>
          <w:b/>
        </w:rPr>
        <w:t>7-8</w:t>
      </w:r>
      <w:r w:rsidRPr="008104A6">
        <w:rPr>
          <w:rFonts w:ascii="Trebuchet MS" w:hAnsi="Trebuchet MS"/>
          <w:b/>
        </w:rPr>
        <w:t xml:space="preserve"> </w:t>
      </w:r>
      <w:r w:rsidR="0007160A">
        <w:rPr>
          <w:rFonts w:ascii="Trebuchet MS" w:hAnsi="Trebuchet MS"/>
          <w:b/>
        </w:rPr>
        <w:t>septembrie</w:t>
      </w:r>
      <w:r w:rsidRPr="008104A6">
        <w:rPr>
          <w:rFonts w:ascii="Trebuchet MS" w:hAnsi="Trebuchet MS"/>
          <w:b/>
        </w:rPr>
        <w:t xml:space="preserve"> 2017,</w:t>
      </w:r>
    </w:p>
    <w:p w:rsidR="003A192F" w:rsidRDefault="003A192F" w:rsidP="00934E60">
      <w:pPr>
        <w:spacing w:after="0" w:line="360" w:lineRule="auto"/>
        <w:ind w:left="708"/>
        <w:jc w:val="center"/>
        <w:rPr>
          <w:rFonts w:ascii="Trebuchet MS" w:hAnsi="Trebuchet MS"/>
          <w:b/>
        </w:rPr>
      </w:pPr>
      <w:r>
        <w:rPr>
          <w:rFonts w:ascii="Trebuchet MS" w:hAnsi="Trebuchet MS"/>
          <w:b/>
        </w:rPr>
        <w:t xml:space="preserve">pentru participare la </w:t>
      </w:r>
      <w:r w:rsidR="0007160A" w:rsidRPr="0007160A">
        <w:rPr>
          <w:rFonts w:ascii="Trebuchet MS" w:hAnsi="Trebuchet MS"/>
          <w:b/>
        </w:rPr>
        <w:t>întâlnirea regională a Punctelor de Contact pentru Parteneriatul pentru Guvernare Deschisă (OGP) din Europa Centrală și de Est</w:t>
      </w:r>
    </w:p>
    <w:p w:rsidR="0007160A" w:rsidRPr="008104A6" w:rsidRDefault="0007160A" w:rsidP="0007160A">
      <w:pPr>
        <w:spacing w:after="120"/>
        <w:ind w:left="708"/>
        <w:jc w:val="center"/>
        <w:rPr>
          <w:rFonts w:ascii="Trebuchet MS" w:hAnsi="Trebuchet MS"/>
        </w:rPr>
      </w:pPr>
    </w:p>
    <w:p w:rsidR="0007160A" w:rsidRDefault="0007160A" w:rsidP="003A192F">
      <w:pPr>
        <w:spacing w:after="120" w:line="360" w:lineRule="auto"/>
        <w:ind w:left="588" w:firstLine="30"/>
        <w:jc w:val="both"/>
        <w:rPr>
          <w:rFonts w:ascii="Trebuchet MS" w:hAnsi="Trebuchet MS"/>
        </w:rPr>
      </w:pPr>
      <w:r>
        <w:rPr>
          <w:rFonts w:ascii="Trebuchet MS" w:hAnsi="Trebuchet MS"/>
        </w:rPr>
        <w:t>Întâlnirea</w:t>
      </w:r>
      <w:r w:rsidR="003A192F">
        <w:rPr>
          <w:rFonts w:ascii="Trebuchet MS" w:hAnsi="Trebuchet MS"/>
        </w:rPr>
        <w:t xml:space="preserve"> </w:t>
      </w:r>
      <w:r w:rsidR="003A192F" w:rsidRPr="008104A6">
        <w:rPr>
          <w:rFonts w:ascii="Trebuchet MS" w:hAnsi="Trebuchet MS"/>
        </w:rPr>
        <w:t>desfășurat</w:t>
      </w:r>
      <w:r>
        <w:rPr>
          <w:rFonts w:ascii="Trebuchet MS" w:hAnsi="Trebuchet MS"/>
        </w:rPr>
        <w:t>ă</w:t>
      </w:r>
      <w:r w:rsidR="003A192F" w:rsidRPr="008104A6">
        <w:rPr>
          <w:rFonts w:ascii="Trebuchet MS" w:hAnsi="Trebuchet MS"/>
        </w:rPr>
        <w:t xml:space="preserve"> la </w:t>
      </w:r>
      <w:r>
        <w:rPr>
          <w:rFonts w:ascii="Trebuchet MS" w:hAnsi="Trebuchet MS"/>
        </w:rPr>
        <w:t>Bratislava</w:t>
      </w:r>
      <w:r w:rsidR="003A192F" w:rsidRPr="008104A6">
        <w:rPr>
          <w:rFonts w:ascii="Trebuchet MS" w:hAnsi="Trebuchet MS"/>
        </w:rPr>
        <w:t xml:space="preserve"> a fost organizat</w:t>
      </w:r>
      <w:r>
        <w:rPr>
          <w:rFonts w:ascii="Trebuchet MS" w:hAnsi="Trebuchet MS"/>
        </w:rPr>
        <w:t>ă</w:t>
      </w:r>
      <w:r w:rsidR="003A192F" w:rsidRPr="008104A6">
        <w:rPr>
          <w:rFonts w:ascii="Trebuchet MS" w:hAnsi="Trebuchet MS"/>
        </w:rPr>
        <w:t xml:space="preserve"> </w:t>
      </w:r>
      <w:r w:rsidR="003A192F">
        <w:rPr>
          <w:rFonts w:ascii="Trebuchet MS" w:hAnsi="Trebuchet MS"/>
        </w:rPr>
        <w:t xml:space="preserve">de </w:t>
      </w:r>
      <w:r>
        <w:rPr>
          <w:rFonts w:ascii="Trebuchet MS" w:hAnsi="Trebuchet MS"/>
        </w:rPr>
        <w:t xml:space="preserve">Unitatea de Suport a Parteneriatului pentru Guvernare Deschisă </w:t>
      </w:r>
      <w:r w:rsidR="003A192F">
        <w:rPr>
          <w:rFonts w:ascii="Trebuchet MS" w:hAnsi="Trebuchet MS"/>
        </w:rPr>
        <w:t>și</w:t>
      </w:r>
      <w:r w:rsidR="003A192F" w:rsidRPr="00B33819">
        <w:rPr>
          <w:rFonts w:ascii="Trebuchet MS" w:hAnsi="Trebuchet MS"/>
        </w:rPr>
        <w:t xml:space="preserve"> </w:t>
      </w:r>
      <w:r w:rsidRPr="0007160A">
        <w:rPr>
          <w:rFonts w:ascii="Trebuchet MS" w:hAnsi="Trebuchet MS"/>
        </w:rPr>
        <w:t>Biroul Ministrului plenipotențiar al Guvernului Republicii Slovacia însărcinat cu Dezvoltarea Societății Civile</w:t>
      </w:r>
      <w:r w:rsidR="00312DFD">
        <w:rPr>
          <w:rFonts w:ascii="Trebuchet MS" w:hAnsi="Trebuchet MS"/>
        </w:rPr>
        <w:t>. A</w:t>
      </w:r>
      <w:r w:rsidR="003A192F">
        <w:t xml:space="preserve"> </w:t>
      </w:r>
      <w:r w:rsidR="003A192F" w:rsidRPr="00B33819">
        <w:rPr>
          <w:rFonts w:ascii="Trebuchet MS" w:hAnsi="Trebuchet MS"/>
        </w:rPr>
        <w:t>reun</w:t>
      </w:r>
      <w:r w:rsidR="003A192F">
        <w:rPr>
          <w:rFonts w:ascii="Trebuchet MS" w:hAnsi="Trebuchet MS"/>
        </w:rPr>
        <w:t>i</w:t>
      </w:r>
      <w:r w:rsidR="003A192F" w:rsidRPr="00B33819">
        <w:rPr>
          <w:rFonts w:ascii="Trebuchet MS" w:hAnsi="Trebuchet MS"/>
        </w:rPr>
        <w:t xml:space="preserve">t </w:t>
      </w:r>
      <w:r w:rsidR="00312DFD">
        <w:rPr>
          <w:rFonts w:ascii="Trebuchet MS" w:hAnsi="Trebuchet MS"/>
        </w:rPr>
        <w:t xml:space="preserve">punctele de contact OGP din Republica Moldova, Cehia, Slovacia, Grecia, România, Bulgaria, Marea Britanie, precum și reprezentanți ai OGP Support Unit pentru Europa, </w:t>
      </w:r>
      <w:r w:rsidR="00A5556F">
        <w:rPr>
          <w:rFonts w:ascii="Trebuchet MS" w:hAnsi="Trebuchet MS"/>
        </w:rPr>
        <w:t>Independent Reporting Mechanism, OGP Steering Committee și ai Open Contracting Partnership.</w:t>
      </w:r>
    </w:p>
    <w:p w:rsidR="00A5556F" w:rsidRDefault="00A5556F" w:rsidP="004B1997">
      <w:pPr>
        <w:spacing w:after="120" w:line="360" w:lineRule="auto"/>
        <w:ind w:left="588" w:firstLine="30"/>
        <w:jc w:val="both"/>
        <w:rPr>
          <w:rFonts w:ascii="Trebuchet MS" w:hAnsi="Trebuchet MS"/>
        </w:rPr>
      </w:pPr>
      <w:r>
        <w:rPr>
          <w:rFonts w:ascii="Trebuchet MS" w:hAnsi="Trebuchet MS"/>
        </w:rPr>
        <w:t xml:space="preserve">Sesiunile de discuții au avut următoarele teme: </w:t>
      </w:r>
      <w:r w:rsidRPr="00A5556F">
        <w:rPr>
          <w:rFonts w:ascii="Trebuchet MS" w:hAnsi="Trebuchet MS"/>
        </w:rPr>
        <w:t>Country highlights</w:t>
      </w:r>
      <w:r w:rsidR="004B1997">
        <w:rPr>
          <w:rFonts w:ascii="Trebuchet MS" w:hAnsi="Trebuchet MS"/>
        </w:rPr>
        <w:t xml:space="preserve"> and</w:t>
      </w:r>
      <w:r>
        <w:rPr>
          <w:rFonts w:ascii="Trebuchet MS" w:hAnsi="Trebuchet MS"/>
        </w:rPr>
        <w:t xml:space="preserve"> </w:t>
      </w:r>
      <w:r w:rsidRPr="00A5556F">
        <w:rPr>
          <w:rFonts w:ascii="Trebuchet MS" w:hAnsi="Trebuchet MS"/>
        </w:rPr>
        <w:t>Regional trends</w:t>
      </w:r>
      <w:r>
        <w:rPr>
          <w:rFonts w:ascii="Trebuchet MS" w:hAnsi="Trebuchet MS"/>
        </w:rPr>
        <w:t xml:space="preserve">, </w:t>
      </w:r>
      <w:r w:rsidRPr="00A5556F">
        <w:rPr>
          <w:rFonts w:ascii="Trebuchet MS" w:hAnsi="Trebuchet MS"/>
        </w:rPr>
        <w:t>Open Contracting</w:t>
      </w:r>
      <w:r>
        <w:rPr>
          <w:rFonts w:ascii="Trebuchet MS" w:hAnsi="Trebuchet MS"/>
        </w:rPr>
        <w:t xml:space="preserve">, </w:t>
      </w:r>
      <w:r w:rsidRPr="00A5556F">
        <w:rPr>
          <w:rFonts w:ascii="Trebuchet MS" w:hAnsi="Trebuchet MS"/>
        </w:rPr>
        <w:t>OGP Participation and Co-creation</w:t>
      </w:r>
      <w:r>
        <w:rPr>
          <w:rFonts w:ascii="Trebuchet MS" w:hAnsi="Trebuchet MS"/>
        </w:rPr>
        <w:t xml:space="preserve"> </w:t>
      </w:r>
      <w:r w:rsidRPr="00A5556F">
        <w:rPr>
          <w:rFonts w:ascii="Trebuchet MS" w:hAnsi="Trebuchet MS"/>
        </w:rPr>
        <w:t>Standards &amp; Multi-Stakeholder Forums</w:t>
      </w:r>
      <w:r>
        <w:rPr>
          <w:rFonts w:ascii="Trebuchet MS" w:hAnsi="Trebuchet MS"/>
        </w:rPr>
        <w:t xml:space="preserve"> și </w:t>
      </w:r>
      <w:r w:rsidR="004B1997" w:rsidRPr="004B1997">
        <w:rPr>
          <w:rFonts w:ascii="Trebuchet MS" w:hAnsi="Trebuchet MS"/>
        </w:rPr>
        <w:t>Awareness-raising on OGP</w:t>
      </w:r>
      <w:r w:rsidR="004B1997">
        <w:rPr>
          <w:rFonts w:ascii="Trebuchet MS" w:hAnsi="Trebuchet MS"/>
        </w:rPr>
        <w:t>.</w:t>
      </w:r>
    </w:p>
    <w:p w:rsidR="00DD26BB" w:rsidRDefault="004B1997" w:rsidP="004B1997">
      <w:pPr>
        <w:spacing w:after="120" w:line="360" w:lineRule="auto"/>
        <w:ind w:left="588" w:firstLine="30"/>
        <w:jc w:val="both"/>
        <w:rPr>
          <w:rFonts w:ascii="Trebuchet MS" w:hAnsi="Trebuchet MS"/>
        </w:rPr>
      </w:pPr>
      <w:r>
        <w:rPr>
          <w:rFonts w:ascii="Trebuchet MS" w:hAnsi="Trebuchet MS"/>
        </w:rPr>
        <w:t xml:space="preserve">În cadrul sesiunii </w:t>
      </w:r>
      <w:r w:rsidRPr="00A5556F">
        <w:rPr>
          <w:rFonts w:ascii="Trebuchet MS" w:hAnsi="Trebuchet MS"/>
        </w:rPr>
        <w:t>Country highlights</w:t>
      </w:r>
      <w:r>
        <w:rPr>
          <w:rFonts w:ascii="Trebuchet MS" w:hAnsi="Trebuchet MS"/>
        </w:rPr>
        <w:t xml:space="preserve"> and </w:t>
      </w:r>
      <w:r w:rsidRPr="00A5556F">
        <w:rPr>
          <w:rFonts w:ascii="Trebuchet MS" w:hAnsi="Trebuchet MS"/>
        </w:rPr>
        <w:t>Regional trends</w:t>
      </w:r>
      <w:r>
        <w:rPr>
          <w:rFonts w:ascii="Trebuchet MS" w:hAnsi="Trebuchet MS"/>
        </w:rPr>
        <w:t xml:space="preserve"> </w:t>
      </w:r>
      <w:r w:rsidR="00F72625">
        <w:rPr>
          <w:rFonts w:ascii="Trebuchet MS" w:hAnsi="Trebuchet MS"/>
        </w:rPr>
        <w:t>fiecare punct de contact a f</w:t>
      </w:r>
      <w:r w:rsidR="00DD26BB">
        <w:rPr>
          <w:rFonts w:ascii="Trebuchet MS" w:hAnsi="Trebuchet MS"/>
        </w:rPr>
        <w:t>ă</w:t>
      </w:r>
      <w:r w:rsidR="00F72625">
        <w:rPr>
          <w:rFonts w:ascii="Trebuchet MS" w:hAnsi="Trebuchet MS"/>
        </w:rPr>
        <w:t xml:space="preserve">cut </w:t>
      </w:r>
      <w:r w:rsidR="00573AF4">
        <w:rPr>
          <w:rFonts w:ascii="Trebuchet MS" w:hAnsi="Trebuchet MS"/>
        </w:rPr>
        <w:t xml:space="preserve">prezentarea stadiului </w:t>
      </w:r>
      <w:r w:rsidR="00DD26BB">
        <w:rPr>
          <w:rFonts w:ascii="Trebuchet MS" w:hAnsi="Trebuchet MS"/>
        </w:rPr>
        <w:t xml:space="preserve">în care se află cu implementarea Planurilor Naționale de Acțiune, precum și cele mai importante angajamente/realizări. </w:t>
      </w:r>
      <w:r w:rsidR="00E20B76">
        <w:rPr>
          <w:rFonts w:ascii="Trebuchet MS" w:hAnsi="Trebuchet MS"/>
        </w:rPr>
        <w:t>Spre exemplu, reprezentantul Marii Britanii, țară aflată în același ciclu de implementare ca și România, a prezentat angajamentul privind publicarea datelor din finanțările nerambursabile oferite de stat (government grants). Scopul acestui angajament a fost realizarea unei standardizări a datelor legate de granturi și publicate în Registrul Național, astfel încât acestea să poată fi reutilizabile și să completeze transparența financiară asigurată de implementarea Open Contracting Data Standard.</w:t>
      </w:r>
    </w:p>
    <w:p w:rsidR="00E20B76" w:rsidRDefault="00E20B76" w:rsidP="004B1997">
      <w:pPr>
        <w:spacing w:after="120" w:line="360" w:lineRule="auto"/>
        <w:ind w:left="588" w:firstLine="30"/>
        <w:jc w:val="both"/>
        <w:rPr>
          <w:rFonts w:ascii="Trebuchet MS" w:hAnsi="Trebuchet MS"/>
        </w:rPr>
      </w:pPr>
      <w:r>
        <w:rPr>
          <w:rFonts w:ascii="Trebuchet MS" w:hAnsi="Trebuchet MS"/>
        </w:rPr>
        <w:t>Grecia, aflată tot la implementarea celui de-al treilea Plan Național, a avut o abordare nouă în ceea ce privește entitățile responsabile de angajamentele din plan.</w:t>
      </w:r>
      <w:r w:rsidR="000C3D22">
        <w:rPr>
          <w:rFonts w:ascii="Trebuchet MS" w:hAnsi="Trebuchet MS"/>
        </w:rPr>
        <w:t xml:space="preserve"> Mai exact, </w:t>
      </w:r>
      <w:r w:rsidR="000C3D22">
        <w:rPr>
          <w:rFonts w:ascii="Trebuchet MS" w:hAnsi="Trebuchet MS"/>
        </w:rPr>
        <w:lastRenderedPageBreak/>
        <w:t xml:space="preserve">acestea nu s-au limitat doar la instituții publice centrale, PNA-ul incluzând și 6 angajamente asumate de regiuni și municipalități, 4 asumate exclusiv de societatea civilă și 1 angajament asumat de Parlament. </w:t>
      </w:r>
    </w:p>
    <w:p w:rsidR="000C3D22" w:rsidRDefault="000C3D22" w:rsidP="004B1997">
      <w:pPr>
        <w:spacing w:after="120" w:line="360" w:lineRule="auto"/>
        <w:ind w:left="588" w:firstLine="30"/>
        <w:jc w:val="both"/>
        <w:rPr>
          <w:rFonts w:ascii="Trebuchet MS" w:hAnsi="Trebuchet MS"/>
        </w:rPr>
      </w:pPr>
      <w:r>
        <w:rPr>
          <w:rFonts w:ascii="Trebuchet MS" w:hAnsi="Trebuchet MS"/>
        </w:rPr>
        <w:t xml:space="preserve">Din partea României, </w:t>
      </w:r>
      <w:r w:rsidR="009441E6">
        <w:rPr>
          <w:rFonts w:ascii="Trebuchet MS" w:hAnsi="Trebuchet MS"/>
        </w:rPr>
        <w:t>reprezentantul Ministerului pentru Consultare Publică și Dialog Social</w:t>
      </w:r>
      <w:r>
        <w:rPr>
          <w:rFonts w:ascii="Trebuchet MS" w:hAnsi="Trebuchet MS"/>
        </w:rPr>
        <w:t xml:space="preserve"> </w:t>
      </w:r>
      <w:r w:rsidR="009441E6">
        <w:rPr>
          <w:rFonts w:ascii="Trebuchet MS" w:hAnsi="Trebuchet MS"/>
        </w:rPr>
        <w:t>a</w:t>
      </w:r>
      <w:r>
        <w:rPr>
          <w:rFonts w:ascii="Trebuchet MS" w:hAnsi="Trebuchet MS"/>
        </w:rPr>
        <w:t xml:space="preserve"> prezentat anagajamentul privind </w:t>
      </w:r>
      <w:r w:rsidRPr="000C3D22">
        <w:rPr>
          <w:rFonts w:ascii="Trebuchet MS" w:hAnsi="Trebuchet MS"/>
        </w:rPr>
        <w:t>Promovarea transparenței procesului de luare a deciziilor publice prin instituirea Registrului Unic al Transparenței Intereselor (RUTI)</w:t>
      </w:r>
      <w:r>
        <w:rPr>
          <w:rFonts w:ascii="Trebuchet MS" w:hAnsi="Trebuchet MS"/>
        </w:rPr>
        <w:t xml:space="preserve">, finalizat în primul an de implementare a PNA. </w:t>
      </w:r>
    </w:p>
    <w:p w:rsidR="00706D48" w:rsidRDefault="001C796A" w:rsidP="00706D48">
      <w:pPr>
        <w:spacing w:after="120" w:line="360" w:lineRule="auto"/>
        <w:ind w:left="588" w:firstLine="30"/>
        <w:jc w:val="both"/>
        <w:rPr>
          <w:rFonts w:ascii="Trebuchet MS" w:hAnsi="Trebuchet MS"/>
        </w:rPr>
      </w:pPr>
      <w:r>
        <w:rPr>
          <w:rFonts w:ascii="Trebuchet MS" w:hAnsi="Trebuchet MS"/>
        </w:rPr>
        <w:t>Din partea Independent Reporting Mechanism, Tinatin Nanua, a prezentat trendurile regionale, așa cum au rezultat în urma centralizării datelor din rapoartele independente de evaluare a</w:t>
      </w:r>
      <w:r w:rsidR="00706D48">
        <w:rPr>
          <w:rFonts w:ascii="Trebuchet MS" w:hAnsi="Trebuchet MS"/>
        </w:rPr>
        <w:t xml:space="preserve"> 8</w:t>
      </w:r>
      <w:r>
        <w:rPr>
          <w:rFonts w:ascii="Trebuchet MS" w:hAnsi="Trebuchet MS"/>
        </w:rPr>
        <w:t xml:space="preserve"> țări din </w:t>
      </w:r>
      <w:r w:rsidR="00706D48">
        <w:rPr>
          <w:rFonts w:ascii="Trebuchet MS" w:hAnsi="Trebuchet MS"/>
        </w:rPr>
        <w:t>Europa Centrală și de Est (</w:t>
      </w:r>
      <w:r w:rsidR="00706D48" w:rsidRPr="00706D48">
        <w:rPr>
          <w:rFonts w:ascii="Trebuchet MS" w:hAnsi="Trebuchet MS"/>
        </w:rPr>
        <w:t>Croa</w:t>
      </w:r>
      <w:r w:rsidR="00706D48">
        <w:rPr>
          <w:rFonts w:ascii="Trebuchet MS" w:hAnsi="Trebuchet MS"/>
        </w:rPr>
        <w:t>ț</w:t>
      </w:r>
      <w:r w:rsidR="00706D48" w:rsidRPr="00706D48">
        <w:rPr>
          <w:rFonts w:ascii="Trebuchet MS" w:hAnsi="Trebuchet MS"/>
        </w:rPr>
        <w:t>ia, Republic</w:t>
      </w:r>
      <w:r w:rsidR="00706D48">
        <w:rPr>
          <w:rFonts w:ascii="Trebuchet MS" w:hAnsi="Trebuchet MS"/>
        </w:rPr>
        <w:t>a Cehă</w:t>
      </w:r>
      <w:r w:rsidR="00706D48" w:rsidRPr="00706D48">
        <w:rPr>
          <w:rFonts w:ascii="Trebuchet MS" w:hAnsi="Trebuchet MS"/>
        </w:rPr>
        <w:t>, Bulgaria, Grec</w:t>
      </w:r>
      <w:r w:rsidR="00706D48">
        <w:rPr>
          <w:rFonts w:ascii="Trebuchet MS" w:hAnsi="Trebuchet MS"/>
        </w:rPr>
        <w:t>ia</w:t>
      </w:r>
      <w:r w:rsidR="00706D48" w:rsidRPr="00706D48">
        <w:rPr>
          <w:rFonts w:ascii="Trebuchet MS" w:hAnsi="Trebuchet MS"/>
        </w:rPr>
        <w:t>, Moldova, Romania, Slova</w:t>
      </w:r>
      <w:r w:rsidR="00706D48">
        <w:rPr>
          <w:rFonts w:ascii="Trebuchet MS" w:hAnsi="Trebuchet MS"/>
        </w:rPr>
        <w:t>c</w:t>
      </w:r>
      <w:r w:rsidR="00706D48" w:rsidRPr="00706D48">
        <w:rPr>
          <w:rFonts w:ascii="Trebuchet MS" w:hAnsi="Trebuchet MS"/>
        </w:rPr>
        <w:t>ia</w:t>
      </w:r>
      <w:r w:rsidR="00706D48">
        <w:rPr>
          <w:rFonts w:ascii="Trebuchet MS" w:hAnsi="Trebuchet MS"/>
        </w:rPr>
        <w:t xml:space="preserve"> și</w:t>
      </w:r>
      <w:r w:rsidR="00706D48" w:rsidRPr="00706D48">
        <w:rPr>
          <w:rFonts w:ascii="Trebuchet MS" w:hAnsi="Trebuchet MS"/>
        </w:rPr>
        <w:t xml:space="preserve"> U</w:t>
      </w:r>
      <w:r w:rsidR="00706D48">
        <w:rPr>
          <w:rFonts w:ascii="Trebuchet MS" w:hAnsi="Trebuchet MS"/>
        </w:rPr>
        <w:t>c</w:t>
      </w:r>
      <w:r w:rsidR="00706D48" w:rsidRPr="00706D48">
        <w:rPr>
          <w:rFonts w:ascii="Trebuchet MS" w:hAnsi="Trebuchet MS"/>
        </w:rPr>
        <w:t>rain</w:t>
      </w:r>
      <w:r w:rsidR="00706D48">
        <w:rPr>
          <w:rFonts w:ascii="Trebuchet MS" w:hAnsi="Trebuchet MS"/>
        </w:rPr>
        <w:t>a)</w:t>
      </w:r>
      <w:r>
        <w:rPr>
          <w:rFonts w:ascii="Trebuchet MS" w:hAnsi="Trebuchet MS"/>
        </w:rPr>
        <w:t>.</w:t>
      </w:r>
      <w:r w:rsidR="00706D48">
        <w:rPr>
          <w:rFonts w:ascii="Trebuchet MS" w:hAnsi="Trebuchet MS"/>
        </w:rPr>
        <w:t xml:space="preserve"> Concluzia analizei IRM a fost că până în acest moment, angajamentele ”starred”, ambițioase și care au avut un real impact asupra deschiderii guvernării au fost în număr limitat, iar implementarea acestora a fost de multe ori incompletă sau nesatisfăcătoare.</w:t>
      </w:r>
    </w:p>
    <w:p w:rsidR="00706D48" w:rsidRDefault="00706D48" w:rsidP="00706D48">
      <w:pPr>
        <w:spacing w:after="120" w:line="360" w:lineRule="auto"/>
        <w:ind w:left="588" w:firstLine="30"/>
        <w:jc w:val="both"/>
        <w:rPr>
          <w:rFonts w:ascii="Trebuchet MS" w:hAnsi="Trebuchet MS"/>
        </w:rPr>
      </w:pPr>
      <w:r>
        <w:rPr>
          <w:rFonts w:ascii="Trebuchet MS" w:hAnsi="Trebuchet MS"/>
        </w:rPr>
        <w:t>Propunerile IRM s-au axat pe:</w:t>
      </w:r>
    </w:p>
    <w:p w:rsidR="00E16FFE" w:rsidRDefault="00706D48" w:rsidP="00E16FFE">
      <w:pPr>
        <w:spacing w:after="120" w:line="360" w:lineRule="auto"/>
        <w:ind w:left="588" w:firstLine="30"/>
        <w:jc w:val="both"/>
        <w:rPr>
          <w:rFonts w:ascii="Trebuchet MS" w:hAnsi="Trebuchet MS"/>
          <w:lang w:val="en-US"/>
        </w:rPr>
      </w:pPr>
      <w:r>
        <w:rPr>
          <w:rFonts w:ascii="Trebuchet MS" w:hAnsi="Trebuchet MS"/>
        </w:rPr>
        <w:t xml:space="preserve">1. nevoia de a determina guvernele să își asume angajamente mai ambițioase, transformative, care să implice efectiv cetățenii în actul de guvernare, inclusiv prin îmbunătățirea </w:t>
      </w:r>
      <w:r w:rsidR="00E16FFE">
        <w:rPr>
          <w:rFonts w:ascii="Trebuchet MS" w:hAnsi="Trebuchet MS"/>
        </w:rPr>
        <w:t>procesul</w:t>
      </w:r>
      <w:r w:rsidR="001302AB">
        <w:rPr>
          <w:rFonts w:ascii="Trebuchet MS" w:hAnsi="Trebuchet MS"/>
        </w:rPr>
        <w:t>ui</w:t>
      </w:r>
      <w:r w:rsidR="00E16FFE">
        <w:rPr>
          <w:rFonts w:ascii="Trebuchet MS" w:hAnsi="Trebuchet MS"/>
        </w:rPr>
        <w:t xml:space="preserve"> de co-creare;</w:t>
      </w:r>
    </w:p>
    <w:p w:rsidR="00706D48" w:rsidRPr="00706D48" w:rsidRDefault="00706D48" w:rsidP="00880379">
      <w:pPr>
        <w:spacing w:after="120" w:line="360" w:lineRule="auto"/>
        <w:ind w:left="588" w:firstLine="30"/>
        <w:jc w:val="both"/>
        <w:rPr>
          <w:rFonts w:ascii="Trebuchet MS" w:hAnsi="Trebuchet MS"/>
          <w:lang w:val="en-US"/>
        </w:rPr>
      </w:pPr>
      <w:r>
        <w:rPr>
          <w:rFonts w:ascii="Trebuchet MS" w:hAnsi="Trebuchet MS"/>
        </w:rPr>
        <w:t xml:space="preserve">2. </w:t>
      </w:r>
      <w:r w:rsidR="00E16FFE">
        <w:rPr>
          <w:rFonts w:ascii="Trebuchet MS" w:hAnsi="Trebuchet MS"/>
        </w:rPr>
        <w:t xml:space="preserve">creșterea numărului de angajamente finalizate, prin asumarea unor acțiuni mai </w:t>
      </w:r>
      <w:r w:rsidR="00880379">
        <w:rPr>
          <w:rFonts w:ascii="Trebuchet MS" w:hAnsi="Trebuchet MS"/>
        </w:rPr>
        <w:t>bine conturate</w:t>
      </w:r>
      <w:r w:rsidR="00E16FFE">
        <w:rPr>
          <w:rFonts w:ascii="Trebuchet MS" w:hAnsi="Trebuchet MS"/>
        </w:rPr>
        <w:t xml:space="preserve">, </w:t>
      </w:r>
      <w:r w:rsidR="00880379">
        <w:rPr>
          <w:rFonts w:ascii="Trebuchet MS" w:hAnsi="Trebuchet MS"/>
        </w:rPr>
        <w:t xml:space="preserve">cu identificarea clară a problemei, soluției și responsabililor. Printre recomandări s-au numărat și o mai bună conectare a angajamentelor cu politicile publice promovate, alocarea de resurse și, mai ales, asumarea efectivă și nu doar formală a angajamentelor de către agențiile responsabile.  </w:t>
      </w:r>
    </w:p>
    <w:p w:rsidR="001C796A" w:rsidRDefault="00880379" w:rsidP="004B1997">
      <w:pPr>
        <w:spacing w:after="120" w:line="360" w:lineRule="auto"/>
        <w:ind w:left="588" w:firstLine="30"/>
        <w:jc w:val="both"/>
        <w:rPr>
          <w:rFonts w:ascii="Trebuchet MS" w:hAnsi="Trebuchet MS"/>
        </w:rPr>
      </w:pPr>
      <w:r>
        <w:rPr>
          <w:rFonts w:ascii="Trebuchet MS" w:hAnsi="Trebuchet MS"/>
        </w:rPr>
        <w:t>În cadrul</w:t>
      </w:r>
      <w:r w:rsidR="00706D48">
        <w:rPr>
          <w:rFonts w:ascii="Trebuchet MS" w:hAnsi="Trebuchet MS"/>
        </w:rPr>
        <w:t xml:space="preserve"> </w:t>
      </w:r>
      <w:r>
        <w:rPr>
          <w:rFonts w:ascii="Trebuchet MS" w:hAnsi="Trebuchet MS"/>
        </w:rPr>
        <w:t xml:space="preserve">sesiunii dedicate </w:t>
      </w:r>
      <w:r w:rsidRPr="00A5556F">
        <w:rPr>
          <w:rFonts w:ascii="Trebuchet MS" w:hAnsi="Trebuchet MS"/>
        </w:rPr>
        <w:t>Open Contracting</w:t>
      </w:r>
      <w:r>
        <w:rPr>
          <w:rFonts w:ascii="Trebuchet MS" w:hAnsi="Trebuchet MS"/>
        </w:rPr>
        <w:t>, discuțiile s-au axat în jurul a 3 subiecte:</w:t>
      </w:r>
    </w:p>
    <w:p w:rsidR="00880379" w:rsidRDefault="00880379" w:rsidP="004B1997">
      <w:pPr>
        <w:spacing w:after="120" w:line="360" w:lineRule="auto"/>
        <w:ind w:left="588" w:firstLine="30"/>
        <w:jc w:val="both"/>
        <w:rPr>
          <w:rFonts w:ascii="Trebuchet MS" w:hAnsi="Trebuchet MS"/>
        </w:rPr>
      </w:pPr>
      <w:r>
        <w:rPr>
          <w:rFonts w:ascii="Trebuchet MS" w:hAnsi="Trebuchet MS"/>
        </w:rPr>
        <w:t>1. O</w:t>
      </w:r>
      <w:r w:rsidR="00DE1CA1">
        <w:rPr>
          <w:rFonts w:ascii="Trebuchet MS" w:hAnsi="Trebuchet MS"/>
        </w:rPr>
        <w:t xml:space="preserve">pen Contracting Data </w:t>
      </w:r>
      <w:r>
        <w:rPr>
          <w:rFonts w:ascii="Trebuchet MS" w:hAnsi="Trebuchet MS"/>
        </w:rPr>
        <w:t>S</w:t>
      </w:r>
      <w:r w:rsidR="00DE1CA1">
        <w:rPr>
          <w:rFonts w:ascii="Trebuchet MS" w:hAnsi="Trebuchet MS"/>
        </w:rPr>
        <w:t>tandard</w:t>
      </w:r>
      <w:r w:rsidR="00F15108">
        <w:rPr>
          <w:rFonts w:ascii="Trebuchet MS" w:hAnsi="Trebuchet MS"/>
        </w:rPr>
        <w:t xml:space="preserve"> (OCDS)</w:t>
      </w:r>
      <w:r w:rsidR="00DE1CA1">
        <w:rPr>
          <w:rFonts w:ascii="Trebuchet MS" w:hAnsi="Trebuchet MS"/>
        </w:rPr>
        <w:t xml:space="preserve"> și Open Contracting Partnership</w:t>
      </w:r>
      <w:r w:rsidR="00F15108">
        <w:rPr>
          <w:rFonts w:ascii="Trebuchet MS" w:hAnsi="Trebuchet MS"/>
        </w:rPr>
        <w:t xml:space="preserve"> (OCP)</w:t>
      </w:r>
      <w:r w:rsidR="00DE1CA1">
        <w:rPr>
          <w:rFonts w:ascii="Trebuchet MS" w:hAnsi="Trebuchet MS"/>
        </w:rPr>
        <w:t>;</w:t>
      </w:r>
    </w:p>
    <w:p w:rsidR="00DE1CA1" w:rsidRDefault="00DE1CA1" w:rsidP="004B1997">
      <w:pPr>
        <w:spacing w:after="120" w:line="360" w:lineRule="auto"/>
        <w:ind w:left="588" w:firstLine="30"/>
        <w:jc w:val="both"/>
        <w:rPr>
          <w:rFonts w:ascii="Trebuchet MS" w:hAnsi="Trebuchet MS"/>
        </w:rPr>
      </w:pPr>
      <w:r>
        <w:rPr>
          <w:rFonts w:ascii="Trebuchet MS" w:hAnsi="Trebuchet MS"/>
        </w:rPr>
        <w:t>2. exemplul slovac de publicare a contractelor din achiziții publice;</w:t>
      </w:r>
    </w:p>
    <w:p w:rsidR="00DE1CA1" w:rsidRDefault="00DE1CA1" w:rsidP="004B1997">
      <w:pPr>
        <w:spacing w:after="120" w:line="360" w:lineRule="auto"/>
        <w:ind w:left="588" w:firstLine="30"/>
        <w:jc w:val="both"/>
        <w:rPr>
          <w:rFonts w:ascii="Trebuchet MS" w:hAnsi="Trebuchet MS"/>
        </w:rPr>
      </w:pPr>
      <w:r>
        <w:rPr>
          <w:rFonts w:ascii="Trebuchet MS" w:hAnsi="Trebuchet MS"/>
        </w:rPr>
        <w:t>3. exemplul UK de publicare a datelor din achiziții;</w:t>
      </w:r>
    </w:p>
    <w:p w:rsidR="001C0860" w:rsidRDefault="00DE1CA1" w:rsidP="001C0860">
      <w:pPr>
        <w:spacing w:after="120" w:line="360" w:lineRule="auto"/>
        <w:ind w:left="588" w:firstLine="30"/>
        <w:jc w:val="both"/>
        <w:rPr>
          <w:rFonts w:ascii="Trebuchet MS" w:hAnsi="Trebuchet MS"/>
        </w:rPr>
      </w:pPr>
      <w:r>
        <w:rPr>
          <w:rFonts w:ascii="Trebuchet MS" w:hAnsi="Trebuchet MS"/>
        </w:rPr>
        <w:t xml:space="preserve">1. </w:t>
      </w:r>
      <w:r w:rsidR="00A27571">
        <w:rPr>
          <w:rFonts w:ascii="Trebuchet MS" w:hAnsi="Trebuchet MS"/>
        </w:rPr>
        <w:t>R</w:t>
      </w:r>
      <w:r>
        <w:rPr>
          <w:rFonts w:ascii="Trebuchet MS" w:hAnsi="Trebuchet MS"/>
        </w:rPr>
        <w:t xml:space="preserve">eprezentantul OCP a prezentat </w:t>
      </w:r>
      <w:r w:rsidR="00A27571">
        <w:rPr>
          <w:rFonts w:ascii="Trebuchet MS" w:hAnsi="Trebuchet MS"/>
        </w:rPr>
        <w:t>conceptul de deschidere a datelor din achiziții publice conform standardului OCDS agreat la nivel internațional. OCP oferă consultanță statelor care doresc să implementeze OCDS în sistemele de achiziții publice, atât din punct de vedere tehnic, cât și cu exemple de bună practică. A fost prezentat cazul Ucrainei care a implementat cu succes</w:t>
      </w:r>
      <w:r w:rsidR="001302AB">
        <w:rPr>
          <w:rFonts w:ascii="Trebuchet MS" w:hAnsi="Trebuchet MS"/>
        </w:rPr>
        <w:t xml:space="preserve"> OCDS, având ca efecte: diversitate</w:t>
      </w:r>
      <w:r w:rsidR="00A27571">
        <w:rPr>
          <w:rFonts w:ascii="Trebuchet MS" w:hAnsi="Trebuchet MS"/>
        </w:rPr>
        <w:t>a ofer</w:t>
      </w:r>
      <w:r w:rsidR="001302AB">
        <w:rPr>
          <w:rFonts w:ascii="Trebuchet MS" w:hAnsi="Trebuchet MS"/>
        </w:rPr>
        <w:t>t</w:t>
      </w:r>
      <w:r w:rsidR="00A27571">
        <w:rPr>
          <w:rFonts w:ascii="Trebuchet MS" w:hAnsi="Trebuchet MS"/>
        </w:rPr>
        <w:t xml:space="preserve">anților </w:t>
      </w:r>
      <w:r w:rsidR="001302AB">
        <w:rPr>
          <w:rFonts w:ascii="Trebuchet MS" w:hAnsi="Trebuchet MS"/>
        </w:rPr>
        <w:t xml:space="preserve">a crescut </w:t>
      </w:r>
      <w:r w:rsidR="00A27571">
        <w:rPr>
          <w:rFonts w:ascii="Trebuchet MS" w:hAnsi="Trebuchet MS"/>
        </w:rPr>
        <w:t xml:space="preserve">cu </w:t>
      </w:r>
      <w:r w:rsidR="001C0860">
        <w:rPr>
          <w:rFonts w:ascii="Trebuchet MS" w:hAnsi="Trebuchet MS"/>
        </w:rPr>
        <w:t xml:space="preserve">45%, achizițiile cu mai mult de 3 ofertanți au înregistrat economii de până la 20%, percepția asupra gradului de corupție a scăzut de la 54% la 29%, calitatea contestațiilor a crescut, autoritățile publice (inclusiv municipalitățile) folosesc datele </w:t>
      </w:r>
      <w:r w:rsidR="001C0860">
        <w:rPr>
          <w:rFonts w:ascii="Trebuchet MS" w:hAnsi="Trebuchet MS"/>
        </w:rPr>
        <w:lastRenderedPageBreak/>
        <w:t xml:space="preserve">provenite din sistem pentru o mai bună monitorizare a achizițiilor, calitatea contestațiilor/sesizărilor a crescut. </w:t>
      </w:r>
    </w:p>
    <w:p w:rsidR="001C0860" w:rsidRDefault="001C0860" w:rsidP="001C0860">
      <w:pPr>
        <w:spacing w:after="120" w:line="360" w:lineRule="auto"/>
        <w:ind w:left="588" w:firstLine="30"/>
        <w:jc w:val="both"/>
        <w:rPr>
          <w:rFonts w:ascii="Trebuchet MS" w:hAnsi="Trebuchet MS"/>
        </w:rPr>
      </w:pPr>
      <w:r>
        <w:rPr>
          <w:rFonts w:ascii="Trebuchet MS" w:hAnsi="Trebuchet MS"/>
        </w:rPr>
        <w:t xml:space="preserve">2. Reprezentantul Transparency International din Slovacia a prezentat modalitatea pentru care guvernul a optat </w:t>
      </w:r>
      <w:r w:rsidR="001302AB">
        <w:rPr>
          <w:rFonts w:ascii="Trebuchet MS" w:hAnsi="Trebuchet MS"/>
        </w:rPr>
        <w:t>în vederea</w:t>
      </w:r>
      <w:r>
        <w:rPr>
          <w:rFonts w:ascii="Trebuchet MS" w:hAnsi="Trebuchet MS"/>
        </w:rPr>
        <w:t xml:space="preserve"> creșter</w:t>
      </w:r>
      <w:r w:rsidR="001302AB">
        <w:rPr>
          <w:rFonts w:ascii="Trebuchet MS" w:hAnsi="Trebuchet MS"/>
        </w:rPr>
        <w:t>ii</w:t>
      </w:r>
      <w:r>
        <w:rPr>
          <w:rFonts w:ascii="Trebuchet MS" w:hAnsi="Trebuchet MS"/>
        </w:rPr>
        <w:t xml:space="preserve"> transparenței în procesul de achiziții publice. Pornin</w:t>
      </w:r>
      <w:r w:rsidR="001302AB">
        <w:rPr>
          <w:rFonts w:ascii="Trebuchet MS" w:hAnsi="Trebuchet MS"/>
        </w:rPr>
        <w:t>d de la exemplul de succes al câ</w:t>
      </w:r>
      <w:r>
        <w:rPr>
          <w:rFonts w:ascii="Trebuchet MS" w:hAnsi="Trebuchet MS"/>
        </w:rPr>
        <w:t xml:space="preserve">torva municipalități, </w:t>
      </w:r>
      <w:r w:rsidR="00664973">
        <w:rPr>
          <w:rFonts w:ascii="Trebuchet MS" w:hAnsi="Trebuchet MS"/>
        </w:rPr>
        <w:t>Slovacia a adoptat în anul 2010 un amendament la legea privind accesul la informație (2000) prin care guvernul este obligat să publice online contractele și facturile, fără să fie nevoie de o solicitare prealabilă în acest sens. Mai mult decât atât, nici un contract al autorităților publice nu intră în vigoare</w:t>
      </w:r>
      <w:r w:rsidR="001302AB">
        <w:rPr>
          <w:rFonts w:ascii="Trebuchet MS" w:hAnsi="Trebuchet MS"/>
        </w:rPr>
        <w:t>,</w:t>
      </w:r>
      <w:r w:rsidR="00664973">
        <w:rPr>
          <w:rFonts w:ascii="Trebuchet MS" w:hAnsi="Trebuchet MS"/>
        </w:rPr>
        <w:t xml:space="preserve"> decât după publicarea online. Orice contract care nu a fost publicat online în 3 luni de la semnare, devine invalid. Autoritățile centrale publică într-un registru unic, iar autoritățile locale pot publica pe site-ul sau într-un registru propriu. În perioada 2011-2014 au fost publicate peste 780.000 de contracte în Registrul unic central. Gradul de transparență și responsabilizare a crescut semnificativ, informațiile publicate fiind utilizate mai ales de media și ONG-uri, dar și de publicul larg, interesat de utilizarea banilor publici. </w:t>
      </w:r>
      <w:r w:rsidR="00111313">
        <w:rPr>
          <w:rFonts w:ascii="Trebuchet MS" w:hAnsi="Trebuchet MS"/>
        </w:rPr>
        <w:t>Sistemul a fost replicat cu succes și în Cehia.</w:t>
      </w:r>
    </w:p>
    <w:p w:rsidR="00111313" w:rsidRDefault="00111313" w:rsidP="001C0860">
      <w:pPr>
        <w:spacing w:after="120" w:line="360" w:lineRule="auto"/>
        <w:ind w:left="588" w:firstLine="30"/>
        <w:jc w:val="both"/>
        <w:rPr>
          <w:rFonts w:ascii="Trebuchet MS" w:hAnsi="Trebuchet MS"/>
        </w:rPr>
      </w:pPr>
      <w:r>
        <w:rPr>
          <w:rFonts w:ascii="Trebuchet MS" w:hAnsi="Trebuchet MS"/>
        </w:rPr>
        <w:t xml:space="preserve">3. Reprezentantul OGP UK a pus accent pe problemele identificate și chestiuni care trebuie avute în vedere la implementarea OCDS: promovarea </w:t>
      </w:r>
      <w:r w:rsidR="001302AB">
        <w:rPr>
          <w:rFonts w:ascii="Trebuchet MS" w:hAnsi="Trebuchet MS"/>
        </w:rPr>
        <w:t>unor politici publice</w:t>
      </w:r>
      <w:r>
        <w:rPr>
          <w:rFonts w:ascii="Trebuchet MS" w:hAnsi="Trebuchet MS"/>
        </w:rPr>
        <w:t xml:space="preserve"> adecvate, existența unui identificator unic care să conecteze contractele și companiile din sisteme diferite de gestionare a datelor, nevoia de colectare și promovare în interiorul guvernului a exemplelor de succes</w:t>
      </w:r>
      <w:r w:rsidR="00C176C3">
        <w:rPr>
          <w:rFonts w:ascii="Trebuchet MS" w:hAnsi="Trebuchet MS"/>
        </w:rPr>
        <w:t xml:space="preserve">. </w:t>
      </w:r>
    </w:p>
    <w:p w:rsidR="00C176C3" w:rsidRDefault="00C176C3" w:rsidP="001C0860">
      <w:pPr>
        <w:spacing w:after="120" w:line="360" w:lineRule="auto"/>
        <w:ind w:left="588" w:firstLine="30"/>
        <w:jc w:val="both"/>
        <w:rPr>
          <w:rFonts w:ascii="Trebuchet MS" w:hAnsi="Trebuchet MS"/>
        </w:rPr>
      </w:pPr>
      <w:r>
        <w:rPr>
          <w:rFonts w:ascii="Trebuchet MS" w:hAnsi="Trebuchet MS"/>
        </w:rPr>
        <w:t>Grecia a implementat deja în sistemul propriu de achiziții publice identificatorul unic.</w:t>
      </w:r>
    </w:p>
    <w:p w:rsidR="00C176C3" w:rsidRDefault="00C176C3" w:rsidP="00C176C3">
      <w:pPr>
        <w:spacing w:after="120" w:line="360" w:lineRule="auto"/>
        <w:ind w:left="588" w:firstLine="30"/>
        <w:jc w:val="both"/>
        <w:rPr>
          <w:rFonts w:ascii="Trebuchet MS" w:hAnsi="Trebuchet MS"/>
        </w:rPr>
      </w:pPr>
      <w:r>
        <w:rPr>
          <w:rFonts w:ascii="Trebuchet MS" w:hAnsi="Trebuchet MS"/>
        </w:rPr>
        <w:t xml:space="preserve">În cadrul sesiunii </w:t>
      </w:r>
      <w:r w:rsidRPr="00A5556F">
        <w:rPr>
          <w:rFonts w:ascii="Trebuchet MS" w:hAnsi="Trebuchet MS"/>
        </w:rPr>
        <w:t>OGP Participation and Co-creation</w:t>
      </w:r>
      <w:r>
        <w:rPr>
          <w:rFonts w:ascii="Trebuchet MS" w:hAnsi="Trebuchet MS"/>
        </w:rPr>
        <w:t xml:space="preserve"> </w:t>
      </w:r>
      <w:r w:rsidRPr="00A5556F">
        <w:rPr>
          <w:rFonts w:ascii="Trebuchet MS" w:hAnsi="Trebuchet MS"/>
        </w:rPr>
        <w:t>Standards &amp; Multi-Stakeholder Forums</w:t>
      </w:r>
      <w:r>
        <w:rPr>
          <w:rFonts w:ascii="Trebuchet MS" w:hAnsi="Trebuchet MS"/>
        </w:rPr>
        <w:t xml:space="preserve">, reprezentantul Support Unit a prezentat cea mai recentă variantă a standardelor impuse de OGP privind participarea cetățenilor și procesul de co-creare a Planurilor Naționale de Acțiune. Standardele acoperă atât procesul de elaborarea a planurilor, cât și perioada de implementare și monitorizarea acestora. Acestea sunt disponibile la: </w:t>
      </w:r>
      <w:hyperlink r:id="rId8" w:history="1">
        <w:r w:rsidRPr="00424D55">
          <w:rPr>
            <w:rStyle w:val="Hyperlink"/>
            <w:rFonts w:ascii="Trebuchet MS" w:hAnsi="Trebuchet MS"/>
          </w:rPr>
          <w:t>https://www.opengovpartnership.org/ogp-participation-co-creation-standards</w:t>
        </w:r>
      </w:hyperlink>
      <w:r>
        <w:rPr>
          <w:rFonts w:ascii="Trebuchet MS" w:hAnsi="Trebuchet MS"/>
        </w:rPr>
        <w:t>.</w:t>
      </w:r>
    </w:p>
    <w:p w:rsidR="00BC7AAF" w:rsidRDefault="00C176C3" w:rsidP="00C176C3">
      <w:pPr>
        <w:spacing w:after="120" w:line="360" w:lineRule="auto"/>
        <w:ind w:left="588" w:firstLine="30"/>
        <w:jc w:val="both"/>
        <w:rPr>
          <w:rFonts w:ascii="Trebuchet MS" w:hAnsi="Trebuchet MS"/>
        </w:rPr>
      </w:pPr>
      <w:r>
        <w:rPr>
          <w:rFonts w:ascii="Trebuchet MS" w:hAnsi="Trebuchet MS"/>
        </w:rPr>
        <w:t>Existența unor forumuri</w:t>
      </w:r>
      <w:r w:rsidR="00BC7AAF">
        <w:rPr>
          <w:rFonts w:ascii="Trebuchet MS" w:hAnsi="Trebuchet MS"/>
        </w:rPr>
        <w:t xml:space="preserve"> (multi-stakeholder forums)</w:t>
      </w:r>
      <w:r>
        <w:rPr>
          <w:rFonts w:ascii="Trebuchet MS" w:hAnsi="Trebuchet MS"/>
        </w:rPr>
        <w:t xml:space="preserve"> la nivel național care să faciliteze colaborarea dintre guverne și societatea civilă pe tema OGP și a planurilor de acțiune este considerată o cerință esențială pentru </w:t>
      </w:r>
      <w:r w:rsidR="00BC7AAF">
        <w:rPr>
          <w:rFonts w:ascii="Trebuchet MS" w:hAnsi="Trebuchet MS"/>
        </w:rPr>
        <w:t>procesul de co-creare și co-implementare.</w:t>
      </w:r>
    </w:p>
    <w:p w:rsidR="001C0860" w:rsidRDefault="00BC7AAF" w:rsidP="00C176C3">
      <w:pPr>
        <w:spacing w:after="120" w:line="360" w:lineRule="auto"/>
        <w:ind w:left="588" w:firstLine="30"/>
        <w:jc w:val="both"/>
        <w:rPr>
          <w:rFonts w:ascii="Trebuchet MS" w:hAnsi="Trebuchet MS"/>
        </w:rPr>
      </w:pPr>
      <w:r>
        <w:rPr>
          <w:rFonts w:ascii="Trebuchet MS" w:hAnsi="Trebuchet MS"/>
        </w:rPr>
        <w:t>Din partea OGP România au fost prezentate forumurile naționale de colaborare pe aceste teme: Clubul OGP și Comitetul Național de Coordonare. Acestea sunt considerate exemple de bune practică la nivel regional, punctele de contact din țările participante exprimându-și dorința de a le replica în implementarea planurilor naționale.</w:t>
      </w:r>
    </w:p>
    <w:p w:rsidR="00BC7AAF" w:rsidRDefault="00BC7AAF" w:rsidP="00C176C3">
      <w:pPr>
        <w:spacing w:after="120" w:line="360" w:lineRule="auto"/>
        <w:ind w:left="588" w:firstLine="30"/>
        <w:jc w:val="both"/>
        <w:rPr>
          <w:rFonts w:ascii="Trebuchet MS" w:hAnsi="Trebuchet MS"/>
        </w:rPr>
      </w:pPr>
      <w:r>
        <w:rPr>
          <w:rFonts w:ascii="Trebuchet MS" w:hAnsi="Trebuchet MS"/>
        </w:rPr>
        <w:t>Grecia și Slovacia au prezentat modalitățile de colaborare a guvernelor respective, atât interinstituțional, cât și cu societatea civilă</w:t>
      </w:r>
      <w:r w:rsidR="001302AB">
        <w:rPr>
          <w:rFonts w:ascii="Trebuchet MS" w:hAnsi="Trebuchet MS"/>
        </w:rPr>
        <w:t>,</w:t>
      </w:r>
      <w:r>
        <w:rPr>
          <w:rFonts w:ascii="Trebuchet MS" w:hAnsi="Trebuchet MS"/>
        </w:rPr>
        <w:t xml:space="preserve"> pe tema OGP, însă momentan nu există mecanisme clare </w:t>
      </w:r>
      <w:r w:rsidR="00086756">
        <w:rPr>
          <w:rFonts w:ascii="Trebuchet MS" w:hAnsi="Trebuchet MS"/>
        </w:rPr>
        <w:t xml:space="preserve">și constante </w:t>
      </w:r>
      <w:r w:rsidR="001302AB">
        <w:rPr>
          <w:rFonts w:ascii="Trebuchet MS" w:hAnsi="Trebuchet MS"/>
        </w:rPr>
        <w:t>în acest scop</w:t>
      </w:r>
      <w:r w:rsidR="00086756">
        <w:rPr>
          <w:rFonts w:ascii="Trebuchet MS" w:hAnsi="Trebuchet MS"/>
        </w:rPr>
        <w:t>.</w:t>
      </w:r>
    </w:p>
    <w:p w:rsidR="00086756" w:rsidRDefault="00086756" w:rsidP="00C176C3">
      <w:pPr>
        <w:spacing w:after="120" w:line="360" w:lineRule="auto"/>
        <w:ind w:left="588" w:firstLine="30"/>
        <w:jc w:val="both"/>
        <w:rPr>
          <w:rFonts w:ascii="Trebuchet MS" w:hAnsi="Trebuchet MS"/>
        </w:rPr>
      </w:pPr>
      <w:r>
        <w:rPr>
          <w:rFonts w:ascii="Trebuchet MS" w:hAnsi="Trebuchet MS"/>
        </w:rPr>
        <w:t>La sesiunea Awareness Raising au fost centralizate propuneri de creștere a gradului de conștientizare și diseminare a informațiilor privind OGP și principiile guvernării deschise. Printre acestea: includerea în planurile de acțiune a mai multor acțiuni/angajamente privind guvernarea deschisă la nivel lo</w:t>
      </w:r>
      <w:r w:rsidR="00EF3C01">
        <w:rPr>
          <w:rFonts w:ascii="Trebuchet MS" w:hAnsi="Trebuchet MS"/>
        </w:rPr>
        <w:t>cal (subnational), includerea OGP și a guvernării deschise în manualele școlare de educație civică, crearea unei academii pe domeniul open data pentru promovarea reutilizării datelor deschise de către administrația publică, deschiderea către mediul universitar, organizarea de acțiuni de promovare la nivel inter-guvernamental, organizarea de evenimente regionale.</w:t>
      </w:r>
    </w:p>
    <w:p w:rsidR="00EF3C01" w:rsidRDefault="00EF3C01" w:rsidP="00C176C3">
      <w:pPr>
        <w:spacing w:after="120" w:line="360" w:lineRule="auto"/>
        <w:ind w:left="588" w:firstLine="30"/>
        <w:jc w:val="both"/>
        <w:rPr>
          <w:rFonts w:ascii="Trebuchet MS" w:hAnsi="Trebuchet MS"/>
        </w:rPr>
      </w:pPr>
    </w:p>
    <w:sectPr w:rsidR="00EF3C01" w:rsidSect="003A192F">
      <w:footerReference w:type="default" r:id="rId9"/>
      <w:pgSz w:w="11906" w:h="16838" w:code="9"/>
      <w:pgMar w:top="1134" w:right="1134" w:bottom="1134" w:left="141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8F2" w:rsidRDefault="009D48F2" w:rsidP="008A3C02">
      <w:pPr>
        <w:spacing w:after="0" w:line="240" w:lineRule="auto"/>
      </w:pPr>
      <w:r>
        <w:separator/>
      </w:r>
    </w:p>
  </w:endnote>
  <w:endnote w:type="continuationSeparator" w:id="0">
    <w:p w:rsidR="009D48F2" w:rsidRDefault="009D48F2" w:rsidP="008A3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20002A87" w:usb1="00000000" w:usb2="00000000" w:usb3="00000000" w:csb0="000001FF" w:csb1="00000000"/>
  </w:font>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C02" w:rsidRDefault="008A3C02" w:rsidP="008A3C02">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8F2" w:rsidRDefault="009D48F2" w:rsidP="008A3C02">
      <w:pPr>
        <w:spacing w:after="0" w:line="240" w:lineRule="auto"/>
      </w:pPr>
      <w:r>
        <w:separator/>
      </w:r>
    </w:p>
  </w:footnote>
  <w:footnote w:type="continuationSeparator" w:id="0">
    <w:p w:rsidR="009D48F2" w:rsidRDefault="009D48F2" w:rsidP="008A3C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3E7F71"/>
    <w:multiLevelType w:val="hybridMultilevel"/>
    <w:tmpl w:val="AD6ECF8C"/>
    <w:lvl w:ilvl="0" w:tplc="E40C2F2E">
      <w:start w:val="1"/>
      <w:numFmt w:val="bullet"/>
      <w:lvlText w:val="•"/>
      <w:lvlJc w:val="left"/>
      <w:pPr>
        <w:tabs>
          <w:tab w:val="num" w:pos="720"/>
        </w:tabs>
        <w:ind w:left="720" w:hanging="360"/>
      </w:pPr>
      <w:rPr>
        <w:rFonts w:ascii="Arial" w:hAnsi="Arial" w:hint="default"/>
      </w:rPr>
    </w:lvl>
    <w:lvl w:ilvl="1" w:tplc="7E46AB6A" w:tentative="1">
      <w:start w:val="1"/>
      <w:numFmt w:val="bullet"/>
      <w:lvlText w:val="•"/>
      <w:lvlJc w:val="left"/>
      <w:pPr>
        <w:tabs>
          <w:tab w:val="num" w:pos="1440"/>
        </w:tabs>
        <w:ind w:left="1440" w:hanging="360"/>
      </w:pPr>
      <w:rPr>
        <w:rFonts w:ascii="Arial" w:hAnsi="Arial" w:hint="default"/>
      </w:rPr>
    </w:lvl>
    <w:lvl w:ilvl="2" w:tplc="94CE4534" w:tentative="1">
      <w:start w:val="1"/>
      <w:numFmt w:val="bullet"/>
      <w:lvlText w:val="•"/>
      <w:lvlJc w:val="left"/>
      <w:pPr>
        <w:tabs>
          <w:tab w:val="num" w:pos="2160"/>
        </w:tabs>
        <w:ind w:left="2160" w:hanging="360"/>
      </w:pPr>
      <w:rPr>
        <w:rFonts w:ascii="Arial" w:hAnsi="Arial" w:hint="default"/>
      </w:rPr>
    </w:lvl>
    <w:lvl w:ilvl="3" w:tplc="276A6348" w:tentative="1">
      <w:start w:val="1"/>
      <w:numFmt w:val="bullet"/>
      <w:lvlText w:val="•"/>
      <w:lvlJc w:val="left"/>
      <w:pPr>
        <w:tabs>
          <w:tab w:val="num" w:pos="2880"/>
        </w:tabs>
        <w:ind w:left="2880" w:hanging="360"/>
      </w:pPr>
      <w:rPr>
        <w:rFonts w:ascii="Arial" w:hAnsi="Arial" w:hint="default"/>
      </w:rPr>
    </w:lvl>
    <w:lvl w:ilvl="4" w:tplc="1B68C070" w:tentative="1">
      <w:start w:val="1"/>
      <w:numFmt w:val="bullet"/>
      <w:lvlText w:val="•"/>
      <w:lvlJc w:val="left"/>
      <w:pPr>
        <w:tabs>
          <w:tab w:val="num" w:pos="3600"/>
        </w:tabs>
        <w:ind w:left="3600" w:hanging="360"/>
      </w:pPr>
      <w:rPr>
        <w:rFonts w:ascii="Arial" w:hAnsi="Arial" w:hint="default"/>
      </w:rPr>
    </w:lvl>
    <w:lvl w:ilvl="5" w:tplc="38963992" w:tentative="1">
      <w:start w:val="1"/>
      <w:numFmt w:val="bullet"/>
      <w:lvlText w:val="•"/>
      <w:lvlJc w:val="left"/>
      <w:pPr>
        <w:tabs>
          <w:tab w:val="num" w:pos="4320"/>
        </w:tabs>
        <w:ind w:left="4320" w:hanging="360"/>
      </w:pPr>
      <w:rPr>
        <w:rFonts w:ascii="Arial" w:hAnsi="Arial" w:hint="default"/>
      </w:rPr>
    </w:lvl>
    <w:lvl w:ilvl="6" w:tplc="18668476" w:tentative="1">
      <w:start w:val="1"/>
      <w:numFmt w:val="bullet"/>
      <w:lvlText w:val="•"/>
      <w:lvlJc w:val="left"/>
      <w:pPr>
        <w:tabs>
          <w:tab w:val="num" w:pos="5040"/>
        </w:tabs>
        <w:ind w:left="5040" w:hanging="360"/>
      </w:pPr>
      <w:rPr>
        <w:rFonts w:ascii="Arial" w:hAnsi="Arial" w:hint="default"/>
      </w:rPr>
    </w:lvl>
    <w:lvl w:ilvl="7" w:tplc="20966F84" w:tentative="1">
      <w:start w:val="1"/>
      <w:numFmt w:val="bullet"/>
      <w:lvlText w:val="•"/>
      <w:lvlJc w:val="left"/>
      <w:pPr>
        <w:tabs>
          <w:tab w:val="num" w:pos="5760"/>
        </w:tabs>
        <w:ind w:left="5760" w:hanging="360"/>
      </w:pPr>
      <w:rPr>
        <w:rFonts w:ascii="Arial" w:hAnsi="Arial" w:hint="default"/>
      </w:rPr>
    </w:lvl>
    <w:lvl w:ilvl="8" w:tplc="9B5234BE" w:tentative="1">
      <w:start w:val="1"/>
      <w:numFmt w:val="bullet"/>
      <w:lvlText w:val="•"/>
      <w:lvlJc w:val="left"/>
      <w:pPr>
        <w:tabs>
          <w:tab w:val="num" w:pos="6480"/>
        </w:tabs>
        <w:ind w:left="6480" w:hanging="360"/>
      </w:pPr>
      <w:rPr>
        <w:rFonts w:ascii="Arial" w:hAnsi="Arial" w:hint="default"/>
      </w:rPr>
    </w:lvl>
  </w:abstractNum>
  <w:abstractNum w:abstractNumId="1">
    <w:nsid w:val="271B7CE4"/>
    <w:multiLevelType w:val="hybridMultilevel"/>
    <w:tmpl w:val="2A2AEB9E"/>
    <w:lvl w:ilvl="0" w:tplc="CD4C80EC">
      <w:start w:val="1"/>
      <w:numFmt w:val="bullet"/>
      <w:lvlText w:val="•"/>
      <w:lvlJc w:val="left"/>
      <w:pPr>
        <w:tabs>
          <w:tab w:val="num" w:pos="720"/>
        </w:tabs>
        <w:ind w:left="720" w:hanging="360"/>
      </w:pPr>
      <w:rPr>
        <w:rFonts w:ascii="Arial" w:hAnsi="Arial" w:hint="default"/>
      </w:rPr>
    </w:lvl>
    <w:lvl w:ilvl="1" w:tplc="4B8E1C14" w:tentative="1">
      <w:start w:val="1"/>
      <w:numFmt w:val="bullet"/>
      <w:lvlText w:val="•"/>
      <w:lvlJc w:val="left"/>
      <w:pPr>
        <w:tabs>
          <w:tab w:val="num" w:pos="1440"/>
        </w:tabs>
        <w:ind w:left="1440" w:hanging="360"/>
      </w:pPr>
      <w:rPr>
        <w:rFonts w:ascii="Arial" w:hAnsi="Arial" w:hint="default"/>
      </w:rPr>
    </w:lvl>
    <w:lvl w:ilvl="2" w:tplc="9E3AA0DC" w:tentative="1">
      <w:start w:val="1"/>
      <w:numFmt w:val="bullet"/>
      <w:lvlText w:val="•"/>
      <w:lvlJc w:val="left"/>
      <w:pPr>
        <w:tabs>
          <w:tab w:val="num" w:pos="2160"/>
        </w:tabs>
        <w:ind w:left="2160" w:hanging="360"/>
      </w:pPr>
      <w:rPr>
        <w:rFonts w:ascii="Arial" w:hAnsi="Arial" w:hint="default"/>
      </w:rPr>
    </w:lvl>
    <w:lvl w:ilvl="3" w:tplc="A28AFF6A" w:tentative="1">
      <w:start w:val="1"/>
      <w:numFmt w:val="bullet"/>
      <w:lvlText w:val="•"/>
      <w:lvlJc w:val="left"/>
      <w:pPr>
        <w:tabs>
          <w:tab w:val="num" w:pos="2880"/>
        </w:tabs>
        <w:ind w:left="2880" w:hanging="360"/>
      </w:pPr>
      <w:rPr>
        <w:rFonts w:ascii="Arial" w:hAnsi="Arial" w:hint="default"/>
      </w:rPr>
    </w:lvl>
    <w:lvl w:ilvl="4" w:tplc="51860562" w:tentative="1">
      <w:start w:val="1"/>
      <w:numFmt w:val="bullet"/>
      <w:lvlText w:val="•"/>
      <w:lvlJc w:val="left"/>
      <w:pPr>
        <w:tabs>
          <w:tab w:val="num" w:pos="3600"/>
        </w:tabs>
        <w:ind w:left="3600" w:hanging="360"/>
      </w:pPr>
      <w:rPr>
        <w:rFonts w:ascii="Arial" w:hAnsi="Arial" w:hint="default"/>
      </w:rPr>
    </w:lvl>
    <w:lvl w:ilvl="5" w:tplc="BFC0D96C" w:tentative="1">
      <w:start w:val="1"/>
      <w:numFmt w:val="bullet"/>
      <w:lvlText w:val="•"/>
      <w:lvlJc w:val="left"/>
      <w:pPr>
        <w:tabs>
          <w:tab w:val="num" w:pos="4320"/>
        </w:tabs>
        <w:ind w:left="4320" w:hanging="360"/>
      </w:pPr>
      <w:rPr>
        <w:rFonts w:ascii="Arial" w:hAnsi="Arial" w:hint="default"/>
      </w:rPr>
    </w:lvl>
    <w:lvl w:ilvl="6" w:tplc="9C5E7386" w:tentative="1">
      <w:start w:val="1"/>
      <w:numFmt w:val="bullet"/>
      <w:lvlText w:val="•"/>
      <w:lvlJc w:val="left"/>
      <w:pPr>
        <w:tabs>
          <w:tab w:val="num" w:pos="5040"/>
        </w:tabs>
        <w:ind w:left="5040" w:hanging="360"/>
      </w:pPr>
      <w:rPr>
        <w:rFonts w:ascii="Arial" w:hAnsi="Arial" w:hint="default"/>
      </w:rPr>
    </w:lvl>
    <w:lvl w:ilvl="7" w:tplc="3C088FB4" w:tentative="1">
      <w:start w:val="1"/>
      <w:numFmt w:val="bullet"/>
      <w:lvlText w:val="•"/>
      <w:lvlJc w:val="left"/>
      <w:pPr>
        <w:tabs>
          <w:tab w:val="num" w:pos="5760"/>
        </w:tabs>
        <w:ind w:left="5760" w:hanging="360"/>
      </w:pPr>
      <w:rPr>
        <w:rFonts w:ascii="Arial" w:hAnsi="Arial" w:hint="default"/>
      </w:rPr>
    </w:lvl>
    <w:lvl w:ilvl="8" w:tplc="705A8B96" w:tentative="1">
      <w:start w:val="1"/>
      <w:numFmt w:val="bullet"/>
      <w:lvlText w:val="•"/>
      <w:lvlJc w:val="left"/>
      <w:pPr>
        <w:tabs>
          <w:tab w:val="num" w:pos="6480"/>
        </w:tabs>
        <w:ind w:left="6480" w:hanging="360"/>
      </w:pPr>
      <w:rPr>
        <w:rFonts w:ascii="Arial" w:hAnsi="Arial" w:hint="default"/>
      </w:rPr>
    </w:lvl>
  </w:abstractNum>
  <w:abstractNum w:abstractNumId="2">
    <w:nsid w:val="58657020"/>
    <w:multiLevelType w:val="hybridMultilevel"/>
    <w:tmpl w:val="892AB552"/>
    <w:lvl w:ilvl="0" w:tplc="8B4EA8BE">
      <w:start w:val="1"/>
      <w:numFmt w:val="bullet"/>
      <w:lvlText w:val="•"/>
      <w:lvlJc w:val="left"/>
      <w:pPr>
        <w:tabs>
          <w:tab w:val="num" w:pos="720"/>
        </w:tabs>
        <w:ind w:left="720" w:hanging="360"/>
      </w:pPr>
      <w:rPr>
        <w:rFonts w:ascii="Arial" w:hAnsi="Arial" w:hint="default"/>
      </w:rPr>
    </w:lvl>
    <w:lvl w:ilvl="1" w:tplc="F9BC571C" w:tentative="1">
      <w:start w:val="1"/>
      <w:numFmt w:val="bullet"/>
      <w:lvlText w:val="•"/>
      <w:lvlJc w:val="left"/>
      <w:pPr>
        <w:tabs>
          <w:tab w:val="num" w:pos="1440"/>
        </w:tabs>
        <w:ind w:left="1440" w:hanging="360"/>
      </w:pPr>
      <w:rPr>
        <w:rFonts w:ascii="Arial" w:hAnsi="Arial" w:hint="default"/>
      </w:rPr>
    </w:lvl>
    <w:lvl w:ilvl="2" w:tplc="2BD861FC" w:tentative="1">
      <w:start w:val="1"/>
      <w:numFmt w:val="bullet"/>
      <w:lvlText w:val="•"/>
      <w:lvlJc w:val="left"/>
      <w:pPr>
        <w:tabs>
          <w:tab w:val="num" w:pos="2160"/>
        </w:tabs>
        <w:ind w:left="2160" w:hanging="360"/>
      </w:pPr>
      <w:rPr>
        <w:rFonts w:ascii="Arial" w:hAnsi="Arial" w:hint="default"/>
      </w:rPr>
    </w:lvl>
    <w:lvl w:ilvl="3" w:tplc="6E44B112" w:tentative="1">
      <w:start w:val="1"/>
      <w:numFmt w:val="bullet"/>
      <w:lvlText w:val="•"/>
      <w:lvlJc w:val="left"/>
      <w:pPr>
        <w:tabs>
          <w:tab w:val="num" w:pos="2880"/>
        </w:tabs>
        <w:ind w:left="2880" w:hanging="360"/>
      </w:pPr>
      <w:rPr>
        <w:rFonts w:ascii="Arial" w:hAnsi="Arial" w:hint="default"/>
      </w:rPr>
    </w:lvl>
    <w:lvl w:ilvl="4" w:tplc="9DB49D18" w:tentative="1">
      <w:start w:val="1"/>
      <w:numFmt w:val="bullet"/>
      <w:lvlText w:val="•"/>
      <w:lvlJc w:val="left"/>
      <w:pPr>
        <w:tabs>
          <w:tab w:val="num" w:pos="3600"/>
        </w:tabs>
        <w:ind w:left="3600" w:hanging="360"/>
      </w:pPr>
      <w:rPr>
        <w:rFonts w:ascii="Arial" w:hAnsi="Arial" w:hint="default"/>
      </w:rPr>
    </w:lvl>
    <w:lvl w:ilvl="5" w:tplc="186C61D4" w:tentative="1">
      <w:start w:val="1"/>
      <w:numFmt w:val="bullet"/>
      <w:lvlText w:val="•"/>
      <w:lvlJc w:val="left"/>
      <w:pPr>
        <w:tabs>
          <w:tab w:val="num" w:pos="4320"/>
        </w:tabs>
        <w:ind w:left="4320" w:hanging="360"/>
      </w:pPr>
      <w:rPr>
        <w:rFonts w:ascii="Arial" w:hAnsi="Arial" w:hint="default"/>
      </w:rPr>
    </w:lvl>
    <w:lvl w:ilvl="6" w:tplc="9D228A6E" w:tentative="1">
      <w:start w:val="1"/>
      <w:numFmt w:val="bullet"/>
      <w:lvlText w:val="•"/>
      <w:lvlJc w:val="left"/>
      <w:pPr>
        <w:tabs>
          <w:tab w:val="num" w:pos="5040"/>
        </w:tabs>
        <w:ind w:left="5040" w:hanging="360"/>
      </w:pPr>
      <w:rPr>
        <w:rFonts w:ascii="Arial" w:hAnsi="Arial" w:hint="default"/>
      </w:rPr>
    </w:lvl>
    <w:lvl w:ilvl="7" w:tplc="01D6BED2" w:tentative="1">
      <w:start w:val="1"/>
      <w:numFmt w:val="bullet"/>
      <w:lvlText w:val="•"/>
      <w:lvlJc w:val="left"/>
      <w:pPr>
        <w:tabs>
          <w:tab w:val="num" w:pos="5760"/>
        </w:tabs>
        <w:ind w:left="5760" w:hanging="360"/>
      </w:pPr>
      <w:rPr>
        <w:rFonts w:ascii="Arial" w:hAnsi="Arial" w:hint="default"/>
      </w:rPr>
    </w:lvl>
    <w:lvl w:ilvl="8" w:tplc="21786FE0"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6C1"/>
    <w:rsid w:val="0000023B"/>
    <w:rsid w:val="00006B7B"/>
    <w:rsid w:val="00016BB1"/>
    <w:rsid w:val="000224B4"/>
    <w:rsid w:val="00022CD0"/>
    <w:rsid w:val="00026329"/>
    <w:rsid w:val="00026B36"/>
    <w:rsid w:val="000433C4"/>
    <w:rsid w:val="00053DCE"/>
    <w:rsid w:val="00055F6F"/>
    <w:rsid w:val="0007160A"/>
    <w:rsid w:val="00071AD5"/>
    <w:rsid w:val="0008344D"/>
    <w:rsid w:val="00085DE3"/>
    <w:rsid w:val="00086756"/>
    <w:rsid w:val="000904EC"/>
    <w:rsid w:val="0009680D"/>
    <w:rsid w:val="000A526E"/>
    <w:rsid w:val="000A7003"/>
    <w:rsid w:val="000B0FCD"/>
    <w:rsid w:val="000C3D22"/>
    <w:rsid w:val="00102CE9"/>
    <w:rsid w:val="001043A1"/>
    <w:rsid w:val="00111313"/>
    <w:rsid w:val="0011215C"/>
    <w:rsid w:val="00115B06"/>
    <w:rsid w:val="001232F4"/>
    <w:rsid w:val="0012638E"/>
    <w:rsid w:val="001302AB"/>
    <w:rsid w:val="0013058A"/>
    <w:rsid w:val="001347E5"/>
    <w:rsid w:val="00135FE5"/>
    <w:rsid w:val="00147079"/>
    <w:rsid w:val="001647DA"/>
    <w:rsid w:val="00166266"/>
    <w:rsid w:val="00171D7D"/>
    <w:rsid w:val="00182ACB"/>
    <w:rsid w:val="00183AF4"/>
    <w:rsid w:val="00192AB4"/>
    <w:rsid w:val="001A713B"/>
    <w:rsid w:val="001A71A6"/>
    <w:rsid w:val="001B7B37"/>
    <w:rsid w:val="001B7BC7"/>
    <w:rsid w:val="001C0860"/>
    <w:rsid w:val="001C6DA5"/>
    <w:rsid w:val="001C796A"/>
    <w:rsid w:val="00202437"/>
    <w:rsid w:val="00206A7D"/>
    <w:rsid w:val="0020768A"/>
    <w:rsid w:val="00212F16"/>
    <w:rsid w:val="00232783"/>
    <w:rsid w:val="00241685"/>
    <w:rsid w:val="00242F34"/>
    <w:rsid w:val="00254F11"/>
    <w:rsid w:val="00264D5A"/>
    <w:rsid w:val="00271EB2"/>
    <w:rsid w:val="00272FAC"/>
    <w:rsid w:val="0027441C"/>
    <w:rsid w:val="002756D2"/>
    <w:rsid w:val="00286AE9"/>
    <w:rsid w:val="00290B7D"/>
    <w:rsid w:val="00295587"/>
    <w:rsid w:val="00296187"/>
    <w:rsid w:val="002B2958"/>
    <w:rsid w:val="002B29FF"/>
    <w:rsid w:val="002B47BF"/>
    <w:rsid w:val="002B6627"/>
    <w:rsid w:val="002C4DED"/>
    <w:rsid w:val="002E1CF2"/>
    <w:rsid w:val="002E4236"/>
    <w:rsid w:val="002E535B"/>
    <w:rsid w:val="002E6082"/>
    <w:rsid w:val="00300B43"/>
    <w:rsid w:val="00312DFD"/>
    <w:rsid w:val="00345BB8"/>
    <w:rsid w:val="0035630B"/>
    <w:rsid w:val="00376587"/>
    <w:rsid w:val="00390A4D"/>
    <w:rsid w:val="003A192F"/>
    <w:rsid w:val="003B05AF"/>
    <w:rsid w:val="003C0C82"/>
    <w:rsid w:val="003C1689"/>
    <w:rsid w:val="003C2419"/>
    <w:rsid w:val="003D41F2"/>
    <w:rsid w:val="003E42A1"/>
    <w:rsid w:val="003E46EE"/>
    <w:rsid w:val="003E498D"/>
    <w:rsid w:val="003F4C0C"/>
    <w:rsid w:val="00402EB8"/>
    <w:rsid w:val="00404E93"/>
    <w:rsid w:val="00415E1B"/>
    <w:rsid w:val="004160A3"/>
    <w:rsid w:val="0041631C"/>
    <w:rsid w:val="00433201"/>
    <w:rsid w:val="00434B5A"/>
    <w:rsid w:val="0044065A"/>
    <w:rsid w:val="00440CFB"/>
    <w:rsid w:val="00451165"/>
    <w:rsid w:val="00463682"/>
    <w:rsid w:val="0046565C"/>
    <w:rsid w:val="00472C3B"/>
    <w:rsid w:val="00490079"/>
    <w:rsid w:val="00490CA4"/>
    <w:rsid w:val="00496B66"/>
    <w:rsid w:val="00497E30"/>
    <w:rsid w:val="004A0A6E"/>
    <w:rsid w:val="004A6EA8"/>
    <w:rsid w:val="004B1997"/>
    <w:rsid w:val="004B5452"/>
    <w:rsid w:val="004D01C4"/>
    <w:rsid w:val="004D0DCB"/>
    <w:rsid w:val="004D472D"/>
    <w:rsid w:val="004E76C7"/>
    <w:rsid w:val="004F0931"/>
    <w:rsid w:val="004F1089"/>
    <w:rsid w:val="004F2C50"/>
    <w:rsid w:val="004F5A7D"/>
    <w:rsid w:val="004F7011"/>
    <w:rsid w:val="005031C9"/>
    <w:rsid w:val="00510705"/>
    <w:rsid w:val="0051107C"/>
    <w:rsid w:val="005169C5"/>
    <w:rsid w:val="0051752C"/>
    <w:rsid w:val="00530493"/>
    <w:rsid w:val="00532A49"/>
    <w:rsid w:val="005546E1"/>
    <w:rsid w:val="00573AF4"/>
    <w:rsid w:val="005841AC"/>
    <w:rsid w:val="005868EE"/>
    <w:rsid w:val="00586C78"/>
    <w:rsid w:val="005943D4"/>
    <w:rsid w:val="005B1E91"/>
    <w:rsid w:val="005B5EC5"/>
    <w:rsid w:val="005B69C2"/>
    <w:rsid w:val="005D5B79"/>
    <w:rsid w:val="005D761F"/>
    <w:rsid w:val="005F692A"/>
    <w:rsid w:val="006045CA"/>
    <w:rsid w:val="00605CD2"/>
    <w:rsid w:val="00606754"/>
    <w:rsid w:val="00610C01"/>
    <w:rsid w:val="0061262D"/>
    <w:rsid w:val="0061636C"/>
    <w:rsid w:val="00617625"/>
    <w:rsid w:val="0066112A"/>
    <w:rsid w:val="00663828"/>
    <w:rsid w:val="00664973"/>
    <w:rsid w:val="006702A0"/>
    <w:rsid w:val="0068332B"/>
    <w:rsid w:val="00691DA5"/>
    <w:rsid w:val="006A2868"/>
    <w:rsid w:val="006A7F4E"/>
    <w:rsid w:val="006B0C75"/>
    <w:rsid w:val="006B4A1B"/>
    <w:rsid w:val="006C2CAE"/>
    <w:rsid w:val="006C580E"/>
    <w:rsid w:val="006C632D"/>
    <w:rsid w:val="006E0385"/>
    <w:rsid w:val="006E1BB5"/>
    <w:rsid w:val="006E408F"/>
    <w:rsid w:val="006E52C6"/>
    <w:rsid w:val="006F19A5"/>
    <w:rsid w:val="006F2138"/>
    <w:rsid w:val="006F41D8"/>
    <w:rsid w:val="006F6E1E"/>
    <w:rsid w:val="007047B1"/>
    <w:rsid w:val="00706D48"/>
    <w:rsid w:val="0071395F"/>
    <w:rsid w:val="00713E7B"/>
    <w:rsid w:val="00733F80"/>
    <w:rsid w:val="00741695"/>
    <w:rsid w:val="00757F14"/>
    <w:rsid w:val="00764326"/>
    <w:rsid w:val="00772557"/>
    <w:rsid w:val="0077404D"/>
    <w:rsid w:val="00775558"/>
    <w:rsid w:val="0078232C"/>
    <w:rsid w:val="007861BF"/>
    <w:rsid w:val="0079013E"/>
    <w:rsid w:val="007940B8"/>
    <w:rsid w:val="00797278"/>
    <w:rsid w:val="007A3C2E"/>
    <w:rsid w:val="007B4D81"/>
    <w:rsid w:val="007B6D95"/>
    <w:rsid w:val="007C5A3C"/>
    <w:rsid w:val="007D012D"/>
    <w:rsid w:val="007D6412"/>
    <w:rsid w:val="007E278B"/>
    <w:rsid w:val="007E52A6"/>
    <w:rsid w:val="007E62EA"/>
    <w:rsid w:val="007F3041"/>
    <w:rsid w:val="007F36CE"/>
    <w:rsid w:val="007F4049"/>
    <w:rsid w:val="007F4CCE"/>
    <w:rsid w:val="00801CF2"/>
    <w:rsid w:val="00810891"/>
    <w:rsid w:val="008109A7"/>
    <w:rsid w:val="008149FF"/>
    <w:rsid w:val="00823923"/>
    <w:rsid w:val="00833F1C"/>
    <w:rsid w:val="00857284"/>
    <w:rsid w:val="00861F2E"/>
    <w:rsid w:val="00863C02"/>
    <w:rsid w:val="00880379"/>
    <w:rsid w:val="008837E7"/>
    <w:rsid w:val="00884705"/>
    <w:rsid w:val="00884E5E"/>
    <w:rsid w:val="00887B3C"/>
    <w:rsid w:val="0089196D"/>
    <w:rsid w:val="00893125"/>
    <w:rsid w:val="008958A3"/>
    <w:rsid w:val="008A3C02"/>
    <w:rsid w:val="008A64DC"/>
    <w:rsid w:val="008C06EC"/>
    <w:rsid w:val="008F0313"/>
    <w:rsid w:val="008F2A6C"/>
    <w:rsid w:val="00902233"/>
    <w:rsid w:val="00902355"/>
    <w:rsid w:val="00905C24"/>
    <w:rsid w:val="00906BBF"/>
    <w:rsid w:val="00917515"/>
    <w:rsid w:val="00930568"/>
    <w:rsid w:val="00934398"/>
    <w:rsid w:val="00934E60"/>
    <w:rsid w:val="009441E6"/>
    <w:rsid w:val="00955DDF"/>
    <w:rsid w:val="00957499"/>
    <w:rsid w:val="00962C32"/>
    <w:rsid w:val="00983F03"/>
    <w:rsid w:val="009A04E0"/>
    <w:rsid w:val="009A07E8"/>
    <w:rsid w:val="009A7B4A"/>
    <w:rsid w:val="009C458F"/>
    <w:rsid w:val="009C5464"/>
    <w:rsid w:val="009D313A"/>
    <w:rsid w:val="009D48F2"/>
    <w:rsid w:val="009D6402"/>
    <w:rsid w:val="009E610C"/>
    <w:rsid w:val="00A15863"/>
    <w:rsid w:val="00A223CE"/>
    <w:rsid w:val="00A25177"/>
    <w:rsid w:val="00A27571"/>
    <w:rsid w:val="00A51440"/>
    <w:rsid w:val="00A5556F"/>
    <w:rsid w:val="00A56A6F"/>
    <w:rsid w:val="00A656A5"/>
    <w:rsid w:val="00A66751"/>
    <w:rsid w:val="00A7730E"/>
    <w:rsid w:val="00A9148E"/>
    <w:rsid w:val="00AA0CDD"/>
    <w:rsid w:val="00AB24D2"/>
    <w:rsid w:val="00AB4B13"/>
    <w:rsid w:val="00AB7F0E"/>
    <w:rsid w:val="00AC307C"/>
    <w:rsid w:val="00AC476F"/>
    <w:rsid w:val="00AC5B71"/>
    <w:rsid w:val="00AF445F"/>
    <w:rsid w:val="00AF63BE"/>
    <w:rsid w:val="00B017A6"/>
    <w:rsid w:val="00B01B14"/>
    <w:rsid w:val="00B16C7B"/>
    <w:rsid w:val="00B225A6"/>
    <w:rsid w:val="00B3404A"/>
    <w:rsid w:val="00B41C3C"/>
    <w:rsid w:val="00B51D3C"/>
    <w:rsid w:val="00B7633B"/>
    <w:rsid w:val="00B84FC6"/>
    <w:rsid w:val="00B870C4"/>
    <w:rsid w:val="00B91468"/>
    <w:rsid w:val="00BA140F"/>
    <w:rsid w:val="00BA642A"/>
    <w:rsid w:val="00BB0413"/>
    <w:rsid w:val="00BB6491"/>
    <w:rsid w:val="00BC36FA"/>
    <w:rsid w:val="00BC4BDC"/>
    <w:rsid w:val="00BC7AAF"/>
    <w:rsid w:val="00BF0BDA"/>
    <w:rsid w:val="00BF3C84"/>
    <w:rsid w:val="00C024E1"/>
    <w:rsid w:val="00C176C3"/>
    <w:rsid w:val="00C17B37"/>
    <w:rsid w:val="00C264AE"/>
    <w:rsid w:val="00C32E24"/>
    <w:rsid w:val="00C42BF2"/>
    <w:rsid w:val="00C45A7A"/>
    <w:rsid w:val="00C575E2"/>
    <w:rsid w:val="00C70C27"/>
    <w:rsid w:val="00C760D2"/>
    <w:rsid w:val="00C93112"/>
    <w:rsid w:val="00CA0BA7"/>
    <w:rsid w:val="00CC14AB"/>
    <w:rsid w:val="00CC58F3"/>
    <w:rsid w:val="00CD64FF"/>
    <w:rsid w:val="00CE3838"/>
    <w:rsid w:val="00CF0E2F"/>
    <w:rsid w:val="00D146C1"/>
    <w:rsid w:val="00D16B88"/>
    <w:rsid w:val="00D21519"/>
    <w:rsid w:val="00D25137"/>
    <w:rsid w:val="00D30C00"/>
    <w:rsid w:val="00D433F4"/>
    <w:rsid w:val="00D50573"/>
    <w:rsid w:val="00D623F8"/>
    <w:rsid w:val="00DA0FD8"/>
    <w:rsid w:val="00DB6902"/>
    <w:rsid w:val="00DB7F7E"/>
    <w:rsid w:val="00DC28F1"/>
    <w:rsid w:val="00DC306F"/>
    <w:rsid w:val="00DC49AA"/>
    <w:rsid w:val="00DC603A"/>
    <w:rsid w:val="00DD028F"/>
    <w:rsid w:val="00DD26BB"/>
    <w:rsid w:val="00DE1CA1"/>
    <w:rsid w:val="00DE2DDA"/>
    <w:rsid w:val="00DE7700"/>
    <w:rsid w:val="00DF37F7"/>
    <w:rsid w:val="00DF7C9C"/>
    <w:rsid w:val="00E05F1E"/>
    <w:rsid w:val="00E10C56"/>
    <w:rsid w:val="00E16FFE"/>
    <w:rsid w:val="00E17631"/>
    <w:rsid w:val="00E208F4"/>
    <w:rsid w:val="00E20B76"/>
    <w:rsid w:val="00E25376"/>
    <w:rsid w:val="00E31A64"/>
    <w:rsid w:val="00E476EA"/>
    <w:rsid w:val="00E5370B"/>
    <w:rsid w:val="00E73B50"/>
    <w:rsid w:val="00E76B79"/>
    <w:rsid w:val="00E95EDC"/>
    <w:rsid w:val="00EA1374"/>
    <w:rsid w:val="00EB1299"/>
    <w:rsid w:val="00EB1941"/>
    <w:rsid w:val="00EB59F7"/>
    <w:rsid w:val="00EB62DF"/>
    <w:rsid w:val="00ED2EC0"/>
    <w:rsid w:val="00EF1E51"/>
    <w:rsid w:val="00EF3C01"/>
    <w:rsid w:val="00EF3EAF"/>
    <w:rsid w:val="00F15108"/>
    <w:rsid w:val="00F24608"/>
    <w:rsid w:val="00F31B20"/>
    <w:rsid w:val="00F32278"/>
    <w:rsid w:val="00F36010"/>
    <w:rsid w:val="00F40793"/>
    <w:rsid w:val="00F40EED"/>
    <w:rsid w:val="00F456C2"/>
    <w:rsid w:val="00F47488"/>
    <w:rsid w:val="00F518F5"/>
    <w:rsid w:val="00F70972"/>
    <w:rsid w:val="00F72625"/>
    <w:rsid w:val="00F74AA6"/>
    <w:rsid w:val="00F85488"/>
    <w:rsid w:val="00F8762B"/>
    <w:rsid w:val="00F87829"/>
    <w:rsid w:val="00F94A59"/>
    <w:rsid w:val="00FA32D2"/>
    <w:rsid w:val="00FC05F9"/>
    <w:rsid w:val="00FC1F65"/>
    <w:rsid w:val="00FE3B27"/>
    <w:rsid w:val="00FE5E02"/>
    <w:rsid w:val="00FF06BB"/>
    <w:rsid w:val="00FF44B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EAF"/>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3C0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A3C02"/>
    <w:rPr>
      <w:rFonts w:ascii="Tahoma" w:hAnsi="Tahoma" w:cs="Tahoma"/>
      <w:sz w:val="16"/>
      <w:szCs w:val="16"/>
    </w:rPr>
  </w:style>
  <w:style w:type="paragraph" w:styleId="Header">
    <w:name w:val="header"/>
    <w:basedOn w:val="Normal"/>
    <w:link w:val="HeaderChar"/>
    <w:uiPriority w:val="99"/>
    <w:unhideWhenUsed/>
    <w:rsid w:val="008A3C02"/>
    <w:pPr>
      <w:tabs>
        <w:tab w:val="center" w:pos="4536"/>
        <w:tab w:val="right" w:pos="9072"/>
      </w:tabs>
      <w:spacing w:after="0" w:line="240" w:lineRule="auto"/>
    </w:pPr>
  </w:style>
  <w:style w:type="character" w:customStyle="1" w:styleId="HeaderChar">
    <w:name w:val="Header Char"/>
    <w:basedOn w:val="DefaultParagraphFont"/>
    <w:link w:val="Header"/>
    <w:uiPriority w:val="99"/>
    <w:rsid w:val="008A3C02"/>
  </w:style>
  <w:style w:type="paragraph" w:styleId="Footer">
    <w:name w:val="footer"/>
    <w:basedOn w:val="Normal"/>
    <w:link w:val="FooterChar"/>
    <w:uiPriority w:val="99"/>
    <w:unhideWhenUsed/>
    <w:rsid w:val="008A3C02"/>
    <w:pPr>
      <w:tabs>
        <w:tab w:val="center" w:pos="4536"/>
        <w:tab w:val="right" w:pos="9072"/>
      </w:tabs>
      <w:spacing w:after="0" w:line="240" w:lineRule="auto"/>
    </w:pPr>
  </w:style>
  <w:style w:type="character" w:customStyle="1" w:styleId="FooterChar">
    <w:name w:val="Footer Char"/>
    <w:basedOn w:val="DefaultParagraphFont"/>
    <w:link w:val="Footer"/>
    <w:uiPriority w:val="99"/>
    <w:rsid w:val="008A3C02"/>
  </w:style>
  <w:style w:type="paragraph" w:styleId="ListParagraph">
    <w:name w:val="List Paragraph"/>
    <w:basedOn w:val="Normal"/>
    <w:uiPriority w:val="34"/>
    <w:qFormat/>
    <w:rsid w:val="00706D48"/>
    <w:pPr>
      <w:spacing w:after="0" w:line="240" w:lineRule="auto"/>
      <w:ind w:left="720"/>
      <w:contextualSpacing/>
    </w:pPr>
    <w:rPr>
      <w:rFonts w:ascii="Times New Roman" w:eastAsia="Times New Roman" w:hAnsi="Times New Roman"/>
      <w:sz w:val="24"/>
      <w:szCs w:val="24"/>
      <w:lang w:val="en-US"/>
    </w:rPr>
  </w:style>
  <w:style w:type="character" w:styleId="Hyperlink">
    <w:name w:val="Hyperlink"/>
    <w:basedOn w:val="DefaultParagraphFont"/>
    <w:uiPriority w:val="99"/>
    <w:unhideWhenUsed/>
    <w:rsid w:val="00C176C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EAF"/>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3C0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A3C02"/>
    <w:rPr>
      <w:rFonts w:ascii="Tahoma" w:hAnsi="Tahoma" w:cs="Tahoma"/>
      <w:sz w:val="16"/>
      <w:szCs w:val="16"/>
    </w:rPr>
  </w:style>
  <w:style w:type="paragraph" w:styleId="Header">
    <w:name w:val="header"/>
    <w:basedOn w:val="Normal"/>
    <w:link w:val="HeaderChar"/>
    <w:uiPriority w:val="99"/>
    <w:unhideWhenUsed/>
    <w:rsid w:val="008A3C02"/>
    <w:pPr>
      <w:tabs>
        <w:tab w:val="center" w:pos="4536"/>
        <w:tab w:val="right" w:pos="9072"/>
      </w:tabs>
      <w:spacing w:after="0" w:line="240" w:lineRule="auto"/>
    </w:pPr>
  </w:style>
  <w:style w:type="character" w:customStyle="1" w:styleId="HeaderChar">
    <w:name w:val="Header Char"/>
    <w:basedOn w:val="DefaultParagraphFont"/>
    <w:link w:val="Header"/>
    <w:uiPriority w:val="99"/>
    <w:rsid w:val="008A3C02"/>
  </w:style>
  <w:style w:type="paragraph" w:styleId="Footer">
    <w:name w:val="footer"/>
    <w:basedOn w:val="Normal"/>
    <w:link w:val="FooterChar"/>
    <w:uiPriority w:val="99"/>
    <w:unhideWhenUsed/>
    <w:rsid w:val="008A3C02"/>
    <w:pPr>
      <w:tabs>
        <w:tab w:val="center" w:pos="4536"/>
        <w:tab w:val="right" w:pos="9072"/>
      </w:tabs>
      <w:spacing w:after="0" w:line="240" w:lineRule="auto"/>
    </w:pPr>
  </w:style>
  <w:style w:type="character" w:customStyle="1" w:styleId="FooterChar">
    <w:name w:val="Footer Char"/>
    <w:basedOn w:val="DefaultParagraphFont"/>
    <w:link w:val="Footer"/>
    <w:uiPriority w:val="99"/>
    <w:rsid w:val="008A3C02"/>
  </w:style>
  <w:style w:type="paragraph" w:styleId="ListParagraph">
    <w:name w:val="List Paragraph"/>
    <w:basedOn w:val="Normal"/>
    <w:uiPriority w:val="34"/>
    <w:qFormat/>
    <w:rsid w:val="00706D48"/>
    <w:pPr>
      <w:spacing w:after="0" w:line="240" w:lineRule="auto"/>
      <w:ind w:left="720"/>
      <w:contextualSpacing/>
    </w:pPr>
    <w:rPr>
      <w:rFonts w:ascii="Times New Roman" w:eastAsia="Times New Roman" w:hAnsi="Times New Roman"/>
      <w:sz w:val="24"/>
      <w:szCs w:val="24"/>
      <w:lang w:val="en-US"/>
    </w:rPr>
  </w:style>
  <w:style w:type="character" w:styleId="Hyperlink">
    <w:name w:val="Hyperlink"/>
    <w:basedOn w:val="DefaultParagraphFont"/>
    <w:uiPriority w:val="99"/>
    <w:unhideWhenUsed/>
    <w:rsid w:val="00C176C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383020">
      <w:bodyDiv w:val="1"/>
      <w:marLeft w:val="0"/>
      <w:marRight w:val="0"/>
      <w:marTop w:val="0"/>
      <w:marBottom w:val="0"/>
      <w:divBdr>
        <w:top w:val="none" w:sz="0" w:space="0" w:color="auto"/>
        <w:left w:val="none" w:sz="0" w:space="0" w:color="auto"/>
        <w:bottom w:val="none" w:sz="0" w:space="0" w:color="auto"/>
        <w:right w:val="none" w:sz="0" w:space="0" w:color="auto"/>
      </w:divBdr>
      <w:divsChild>
        <w:div w:id="1723946558">
          <w:marLeft w:val="360"/>
          <w:marRight w:val="0"/>
          <w:marTop w:val="200"/>
          <w:marBottom w:val="0"/>
          <w:divBdr>
            <w:top w:val="none" w:sz="0" w:space="0" w:color="auto"/>
            <w:left w:val="none" w:sz="0" w:space="0" w:color="auto"/>
            <w:bottom w:val="none" w:sz="0" w:space="0" w:color="auto"/>
            <w:right w:val="none" w:sz="0" w:space="0" w:color="auto"/>
          </w:divBdr>
        </w:div>
        <w:div w:id="56785793">
          <w:marLeft w:val="360"/>
          <w:marRight w:val="0"/>
          <w:marTop w:val="200"/>
          <w:marBottom w:val="0"/>
          <w:divBdr>
            <w:top w:val="none" w:sz="0" w:space="0" w:color="auto"/>
            <w:left w:val="none" w:sz="0" w:space="0" w:color="auto"/>
            <w:bottom w:val="none" w:sz="0" w:space="0" w:color="auto"/>
            <w:right w:val="none" w:sz="0" w:space="0" w:color="auto"/>
          </w:divBdr>
        </w:div>
      </w:divsChild>
    </w:div>
    <w:div w:id="1292128669">
      <w:bodyDiv w:val="1"/>
      <w:marLeft w:val="0"/>
      <w:marRight w:val="0"/>
      <w:marTop w:val="0"/>
      <w:marBottom w:val="0"/>
      <w:divBdr>
        <w:top w:val="none" w:sz="0" w:space="0" w:color="auto"/>
        <w:left w:val="none" w:sz="0" w:space="0" w:color="auto"/>
        <w:bottom w:val="none" w:sz="0" w:space="0" w:color="auto"/>
        <w:right w:val="none" w:sz="0" w:space="0" w:color="auto"/>
      </w:divBdr>
    </w:div>
    <w:div w:id="1735425279">
      <w:bodyDiv w:val="1"/>
      <w:marLeft w:val="0"/>
      <w:marRight w:val="0"/>
      <w:marTop w:val="0"/>
      <w:marBottom w:val="0"/>
      <w:divBdr>
        <w:top w:val="none" w:sz="0" w:space="0" w:color="auto"/>
        <w:left w:val="none" w:sz="0" w:space="0" w:color="auto"/>
        <w:bottom w:val="none" w:sz="0" w:space="0" w:color="auto"/>
        <w:right w:val="none" w:sz="0" w:space="0" w:color="auto"/>
      </w:divBdr>
      <w:divsChild>
        <w:div w:id="1371103142">
          <w:marLeft w:val="360"/>
          <w:marRight w:val="0"/>
          <w:marTop w:val="200"/>
          <w:marBottom w:val="0"/>
          <w:divBdr>
            <w:top w:val="none" w:sz="0" w:space="0" w:color="auto"/>
            <w:left w:val="none" w:sz="0" w:space="0" w:color="auto"/>
            <w:bottom w:val="none" w:sz="0" w:space="0" w:color="auto"/>
            <w:right w:val="none" w:sz="0" w:space="0" w:color="auto"/>
          </w:divBdr>
        </w:div>
        <w:div w:id="1581253220">
          <w:marLeft w:val="360"/>
          <w:marRight w:val="0"/>
          <w:marTop w:val="200"/>
          <w:marBottom w:val="0"/>
          <w:divBdr>
            <w:top w:val="none" w:sz="0" w:space="0" w:color="auto"/>
            <w:left w:val="none" w:sz="0" w:space="0" w:color="auto"/>
            <w:bottom w:val="none" w:sz="0" w:space="0" w:color="auto"/>
            <w:right w:val="none" w:sz="0" w:space="0" w:color="auto"/>
          </w:divBdr>
        </w:div>
        <w:div w:id="761874123">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engovpartnership.org/ogp-participation-co-creation-standard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fil\Danielb\Desktop\Antet-SG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Antet-SGG</Template>
  <TotalTime>2</TotalTime>
  <Pages>4</Pages>
  <Words>1226</Words>
  <Characters>7115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cp:lastModifiedBy>
  <cp:revision>3</cp:revision>
  <cp:lastPrinted>2017-05-12T14:18:00Z</cp:lastPrinted>
  <dcterms:created xsi:type="dcterms:W3CDTF">2017-09-19T09:10:00Z</dcterms:created>
  <dcterms:modified xsi:type="dcterms:W3CDTF">2017-09-19T09:12:00Z</dcterms:modified>
</cp:coreProperties>
</file>